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2084C81" w14:textId="5FA8823A" w:rsidR="00E826E1" w:rsidRDefault="004A1FDF">
      <w:pPr>
        <w:widowControl/>
        <w:spacing w:before="312" w:after="156" w:line="360" w:lineRule="auto"/>
        <w:rPr>
          <w:rFonts w:ascii="宋体" w:hAnsi="宋体"/>
          <w:b/>
          <w:kern w:val="0"/>
          <w:sz w:val="24"/>
        </w:rPr>
      </w:pPr>
      <w:bookmarkStart w:id="0" w:name="OLE_LINK3"/>
      <w:bookmarkStart w:id="1" w:name="OLE_LINK4"/>
      <w:r>
        <w:rPr>
          <w:rFonts w:ascii="宋体" w:hAnsi="宋体" w:hint="eastAsia"/>
          <w:kern w:val="0"/>
          <w:sz w:val="24"/>
        </w:rPr>
        <w:t>资源平台</w:t>
      </w:r>
      <w:r w:rsidR="00503CB2">
        <w:rPr>
          <w:rFonts w:ascii="宋体" w:hAnsi="宋体" w:hint="eastAsia"/>
          <w:kern w:val="0"/>
          <w:sz w:val="24"/>
        </w:rPr>
        <w:t>存储</w:t>
      </w:r>
      <w:r>
        <w:rPr>
          <w:rFonts w:ascii="宋体" w:hAnsi="宋体" w:hint="eastAsia"/>
          <w:kern w:val="0"/>
          <w:sz w:val="24"/>
        </w:rPr>
        <w:t>扩容</w:t>
      </w:r>
      <w:bookmarkEnd w:id="0"/>
      <w:bookmarkEnd w:id="1"/>
      <w:r w:rsidR="00FD4EE3">
        <w:rPr>
          <w:rFonts w:ascii="宋体" w:hAnsi="宋体" w:hint="eastAsia"/>
          <w:kern w:val="0"/>
          <w:sz w:val="24"/>
        </w:rPr>
        <w:t>技术要求</w:t>
      </w:r>
    </w:p>
    <w:p w14:paraId="536BBAAB" w14:textId="77777777" w:rsidR="00E826E1" w:rsidRDefault="00D30F07">
      <w:pPr>
        <w:pStyle w:val="p0"/>
        <w:spacing w:before="312" w:after="156"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数量：</w:t>
      </w:r>
      <w:r>
        <w:rPr>
          <w:rFonts w:ascii="宋体" w:hAnsi="宋体" w:hint="eastAsia"/>
          <w:color w:val="000000"/>
          <w:sz w:val="24"/>
        </w:rPr>
        <w:t>1套</w:t>
      </w:r>
    </w:p>
    <w:p w14:paraId="66E508BC" w14:textId="77777777" w:rsidR="00E826E1" w:rsidRDefault="00D30F07">
      <w:pPr>
        <w:pStyle w:val="p0"/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项目内容及主要用途：</w:t>
      </w:r>
    </w:p>
    <w:p w14:paraId="7B8D1399" w14:textId="63613C8D" w:rsidR="00E826E1" w:rsidRDefault="004A1FDF" w:rsidP="004A1FDF">
      <w:pPr>
        <w:pStyle w:val="p0"/>
        <w:spacing w:line="360" w:lineRule="auto"/>
        <w:ind w:firstLineChars="200" w:firstLine="480"/>
        <w:rPr>
          <w:bCs/>
        </w:rPr>
      </w:pPr>
      <w:r>
        <w:rPr>
          <w:rFonts w:ascii="宋体" w:hAnsi="宋体" w:hint="eastAsia"/>
          <w:bCs/>
          <w:color w:val="000000"/>
          <w:sz w:val="24"/>
        </w:rPr>
        <w:t>资源平台原有EMC VS</w:t>
      </w:r>
      <w:r w:rsidR="00195198">
        <w:rPr>
          <w:rFonts w:ascii="宋体" w:hAnsi="宋体"/>
          <w:bCs/>
          <w:color w:val="000000"/>
          <w:sz w:val="24"/>
        </w:rPr>
        <w:t>S</w:t>
      </w:r>
      <w:r>
        <w:rPr>
          <w:rFonts w:ascii="宋体" w:hAnsi="宋体" w:hint="eastAsia"/>
          <w:bCs/>
          <w:color w:val="000000"/>
          <w:sz w:val="24"/>
        </w:rPr>
        <w:t>100已有裸容量280TB，随着数据量的增大，需要进行存储空间扩容。同时，对原有服务器存储链路进行改造</w:t>
      </w:r>
    </w:p>
    <w:p w14:paraId="6E35C5B9" w14:textId="77777777" w:rsidR="00E826E1" w:rsidRDefault="00D30F07">
      <w:pPr>
        <w:widowControl/>
        <w:spacing w:line="360" w:lineRule="auto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1、配置清单</w:t>
      </w:r>
      <w:bookmarkStart w:id="2" w:name="_GoBack"/>
      <w:bookmarkEnd w:id="2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4252"/>
        <w:gridCol w:w="928"/>
      </w:tblGrid>
      <w:tr w:rsidR="00E826E1" w14:paraId="5919D6EC" w14:textId="77777777" w:rsidTr="00BC614C">
        <w:trPr>
          <w:jc w:val="center"/>
        </w:trPr>
        <w:tc>
          <w:tcPr>
            <w:tcW w:w="844" w:type="dxa"/>
          </w:tcPr>
          <w:p w14:paraId="1FEF2ED7" w14:textId="77777777" w:rsidR="00E826E1" w:rsidRDefault="00D30F0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252" w:type="dxa"/>
          </w:tcPr>
          <w:p w14:paraId="35E49F7C" w14:textId="77777777" w:rsidR="00E826E1" w:rsidRDefault="00D30F0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928" w:type="dxa"/>
          </w:tcPr>
          <w:p w14:paraId="1EC7266D" w14:textId="77777777" w:rsidR="00E826E1" w:rsidRDefault="00D30F0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数量</w:t>
            </w:r>
          </w:p>
        </w:tc>
      </w:tr>
      <w:tr w:rsidR="00E826E1" w14:paraId="6A93DB78" w14:textId="77777777" w:rsidTr="00BC614C">
        <w:trPr>
          <w:jc w:val="center"/>
        </w:trPr>
        <w:tc>
          <w:tcPr>
            <w:tcW w:w="844" w:type="dxa"/>
          </w:tcPr>
          <w:p w14:paraId="4F5705D5" w14:textId="77777777" w:rsidR="00E826E1" w:rsidRDefault="00D30F07">
            <w:pPr>
              <w:widowControl/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4252" w:type="dxa"/>
          </w:tcPr>
          <w:p w14:paraId="58879E02" w14:textId="77777777" w:rsidR="00E826E1" w:rsidRDefault="004A1FDF">
            <w:pPr>
              <w:widowControl/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资源平台存储扩容</w:t>
            </w:r>
          </w:p>
        </w:tc>
        <w:tc>
          <w:tcPr>
            <w:tcW w:w="928" w:type="dxa"/>
          </w:tcPr>
          <w:p w14:paraId="65C5A690" w14:textId="77777777" w:rsidR="00E826E1" w:rsidRDefault="004A1FDF">
            <w:pPr>
              <w:widowControl/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</w:t>
            </w:r>
          </w:p>
        </w:tc>
      </w:tr>
    </w:tbl>
    <w:p w14:paraId="45577FC8" w14:textId="77777777" w:rsidR="00E826E1" w:rsidRDefault="00E826E1">
      <w:pPr>
        <w:widowControl/>
        <w:spacing w:line="360" w:lineRule="auto"/>
        <w:rPr>
          <w:rFonts w:ascii="宋体" w:hAnsi="宋体"/>
          <w:b/>
          <w:kern w:val="0"/>
          <w:sz w:val="24"/>
        </w:rPr>
      </w:pPr>
    </w:p>
    <w:p w14:paraId="48CDF8CB" w14:textId="77777777" w:rsidR="00E826E1" w:rsidRDefault="00D30F07">
      <w:pPr>
        <w:widowControl/>
        <w:spacing w:line="360" w:lineRule="auto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2、系统整体功能要求</w:t>
      </w:r>
    </w:p>
    <w:p w14:paraId="20CE551F" w14:textId="0FED6EBF" w:rsidR="00E826E1" w:rsidRDefault="00D30F07">
      <w:pPr>
        <w:pStyle w:val="p0"/>
        <w:spacing w:line="360" w:lineRule="auto"/>
        <w:ind w:firstLineChars="200" w:firstLine="480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 w:hint="eastAsia"/>
          <w:color w:val="000000"/>
          <w:sz w:val="24"/>
          <w:shd w:val="clear" w:color="auto" w:fill="FFFFFF"/>
        </w:rPr>
        <w:t>南京邮电大学信息办于2016年建设了</w:t>
      </w:r>
      <w:r w:rsidR="004A1FDF">
        <w:rPr>
          <w:rFonts w:ascii="宋体" w:hAnsi="宋体" w:hint="eastAsia"/>
          <w:color w:val="000000"/>
          <w:sz w:val="24"/>
          <w:shd w:val="clear" w:color="auto" w:fill="FFFFFF"/>
        </w:rPr>
        <w:t>资源管理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平台，采用了</w:t>
      </w:r>
      <w:r w:rsidR="004A1FDF">
        <w:rPr>
          <w:rFonts w:ascii="宋体" w:hAnsi="宋体" w:hint="eastAsia"/>
          <w:color w:val="000000"/>
          <w:sz w:val="24"/>
          <w:shd w:val="clear" w:color="auto" w:fill="FFFFFF"/>
        </w:rPr>
        <w:t>EMC VS</w:t>
      </w:r>
      <w:r w:rsidR="00503CB2">
        <w:rPr>
          <w:rFonts w:ascii="宋体" w:hAnsi="宋体" w:hint="eastAsia"/>
          <w:color w:val="000000"/>
          <w:sz w:val="24"/>
          <w:shd w:val="clear" w:color="auto" w:fill="FFFFFF"/>
        </w:rPr>
        <w:t>S</w:t>
      </w:r>
      <w:r w:rsidR="004A1FDF">
        <w:rPr>
          <w:rFonts w:ascii="宋体" w:hAnsi="宋体" w:hint="eastAsia"/>
          <w:color w:val="000000"/>
          <w:sz w:val="24"/>
          <w:shd w:val="clear" w:color="auto" w:fill="FFFFFF"/>
        </w:rPr>
        <w:t>100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，随着</w:t>
      </w:r>
      <w:r w:rsidR="004A1FDF">
        <w:rPr>
          <w:rFonts w:ascii="宋体" w:hAnsi="宋体" w:hint="eastAsia"/>
          <w:color w:val="000000"/>
          <w:sz w:val="24"/>
          <w:shd w:val="clear" w:color="auto" w:fill="FFFFFF"/>
        </w:rPr>
        <w:t>数据量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的增加，存储空间都需要进行扩容，</w:t>
      </w:r>
      <w:r w:rsidR="004A1FDF">
        <w:rPr>
          <w:rFonts w:ascii="宋体" w:hAnsi="宋体" w:hint="eastAsia"/>
          <w:color w:val="000000"/>
          <w:sz w:val="24"/>
          <w:shd w:val="clear" w:color="auto" w:fill="FFFFFF"/>
        </w:rPr>
        <w:t>新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购</w:t>
      </w:r>
      <w:r w:rsidR="004A1FDF">
        <w:rPr>
          <w:rFonts w:ascii="宋体" w:hAnsi="宋体" w:hint="eastAsia"/>
          <w:color w:val="000000"/>
          <w:sz w:val="24"/>
          <w:shd w:val="clear" w:color="auto" w:fill="FFFFFF"/>
        </w:rPr>
        <w:t>存储空间必须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与原有</w:t>
      </w:r>
      <w:r w:rsidR="004A1FDF">
        <w:rPr>
          <w:rFonts w:ascii="宋体" w:hAnsi="宋体" w:hint="eastAsia"/>
          <w:color w:val="000000"/>
          <w:sz w:val="24"/>
          <w:shd w:val="clear" w:color="auto" w:fill="FFFFFF"/>
        </w:rPr>
        <w:t>EMC VS</w:t>
      </w:r>
      <w:r w:rsidR="00503CB2">
        <w:rPr>
          <w:rFonts w:ascii="宋体" w:hAnsi="宋体" w:hint="eastAsia"/>
          <w:color w:val="000000"/>
          <w:sz w:val="24"/>
          <w:shd w:val="clear" w:color="auto" w:fill="FFFFFF"/>
        </w:rPr>
        <w:t>S</w:t>
      </w:r>
      <w:r w:rsidR="004A1FDF">
        <w:rPr>
          <w:rFonts w:ascii="宋体" w:hAnsi="宋体" w:hint="eastAsia"/>
          <w:color w:val="000000"/>
          <w:sz w:val="24"/>
          <w:shd w:val="clear" w:color="auto" w:fill="FFFFFF"/>
        </w:rPr>
        <w:t>100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无缝兼容，进行统一管理，中标单位必须负责在原有系统上进行新增系统的统一部署实施</w:t>
      </w:r>
      <w:r w:rsidR="004A1FDF">
        <w:rPr>
          <w:rFonts w:ascii="宋体" w:hAnsi="宋体" w:hint="eastAsia"/>
          <w:color w:val="000000"/>
          <w:sz w:val="24"/>
          <w:shd w:val="clear" w:color="auto" w:fill="FFFFFF"/>
        </w:rPr>
        <w:t>和数据迁移，并保证数据一致性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。</w:t>
      </w:r>
    </w:p>
    <w:p w14:paraId="22BE529B" w14:textId="77777777" w:rsidR="00503CB2" w:rsidRDefault="00503CB2">
      <w:pPr>
        <w:pStyle w:val="p0"/>
        <w:spacing w:line="360" w:lineRule="auto"/>
        <w:ind w:firstLineChars="200" w:firstLine="420"/>
      </w:pPr>
    </w:p>
    <w:p w14:paraId="26A443C8" w14:textId="77777777" w:rsidR="00E826E1" w:rsidRDefault="00D30F07">
      <w:pPr>
        <w:widowControl/>
        <w:spacing w:line="360" w:lineRule="auto"/>
        <w:outlineLvl w:val="0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3.</w:t>
      </w:r>
      <w:r w:rsidR="004A1FDF">
        <w:rPr>
          <w:rFonts w:ascii="宋体" w:hAnsi="宋体" w:hint="eastAsia"/>
          <w:b/>
          <w:kern w:val="0"/>
          <w:sz w:val="24"/>
        </w:rPr>
        <w:t>扩容存储</w:t>
      </w:r>
      <w:r>
        <w:rPr>
          <w:rFonts w:ascii="宋体" w:hAnsi="宋体" w:hint="eastAsia"/>
          <w:b/>
          <w:kern w:val="0"/>
          <w:sz w:val="24"/>
        </w:rPr>
        <w:t>详细技术指标要求</w:t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6"/>
        <w:gridCol w:w="7374"/>
      </w:tblGrid>
      <w:tr w:rsidR="004A1FDF" w14:paraId="1136FF77" w14:textId="77777777" w:rsidTr="00305B6C">
        <w:trPr>
          <w:trHeight w:val="325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90802" w14:textId="77777777" w:rsidR="004A1FDF" w:rsidRDefault="004A1FDF" w:rsidP="00305B6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 w:hint="eastAsia"/>
                <w:b/>
                <w:szCs w:val="21"/>
              </w:rPr>
              <w:t>指标项</w:t>
            </w:r>
          </w:p>
        </w:tc>
        <w:tc>
          <w:tcPr>
            <w:tcW w:w="7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4D89D" w14:textId="77777777" w:rsidR="004A1FDF" w:rsidRDefault="004A1FDF" w:rsidP="00305B6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 w:hint="eastAsia"/>
                <w:b/>
                <w:szCs w:val="21"/>
              </w:rPr>
              <w:t>技术规格要求</w:t>
            </w:r>
          </w:p>
        </w:tc>
      </w:tr>
      <w:tr w:rsidR="004A1FDF" w14:paraId="68D3D066" w14:textId="77777777" w:rsidTr="00305B6C">
        <w:trPr>
          <w:trHeight w:val="54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F33873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总体要求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93A70" w14:textId="77777777" w:rsidR="004A1FDF" w:rsidRDefault="004A1FDF" w:rsidP="00305B6C">
            <w:pPr>
              <w:rPr>
                <w:rFonts w:ascii="Arial" w:hAnsi="宋体" w:cs="Arial"/>
                <w:bCs/>
                <w:szCs w:val="21"/>
              </w:rPr>
            </w:pPr>
            <w:r>
              <w:rPr>
                <w:rFonts w:ascii="Arial" w:hAnsi="宋体" w:cs="Arial" w:hint="eastAsia"/>
                <w:bCs/>
                <w:szCs w:val="21"/>
              </w:rPr>
              <w:t>产品成熟稳定，在</w:t>
            </w:r>
            <w:r>
              <w:rPr>
                <w:rFonts w:ascii="Arial" w:hAnsi="宋体" w:cs="Arial"/>
                <w:bCs/>
                <w:szCs w:val="21"/>
              </w:rPr>
              <w:t>Gartner</w:t>
            </w:r>
            <w:r>
              <w:rPr>
                <w:rFonts w:ascii="Arial" w:hAnsi="宋体" w:cs="Arial" w:hint="eastAsia"/>
                <w:bCs/>
                <w:szCs w:val="21"/>
              </w:rPr>
              <w:t>魔力象限处于领导者象限；产品系列在国内上市不少于</w:t>
            </w:r>
            <w:r>
              <w:rPr>
                <w:rFonts w:ascii="Arial" w:hAnsi="宋体" w:cs="Arial"/>
                <w:bCs/>
                <w:szCs w:val="21"/>
              </w:rPr>
              <w:t>10</w:t>
            </w:r>
            <w:r>
              <w:rPr>
                <w:rFonts w:ascii="Arial" w:hAnsi="宋体" w:cs="Arial" w:hint="eastAsia"/>
                <w:bCs/>
                <w:szCs w:val="21"/>
              </w:rPr>
              <w:t>年；产品原厂设计、研发、生产，非</w:t>
            </w:r>
            <w:r>
              <w:rPr>
                <w:rFonts w:ascii="Arial" w:hAnsi="宋体" w:cs="Arial"/>
                <w:bCs/>
                <w:szCs w:val="21"/>
              </w:rPr>
              <w:t>OEM</w:t>
            </w:r>
            <w:r w:rsidR="00F31A1D">
              <w:rPr>
                <w:rFonts w:ascii="Arial" w:hAnsi="宋体" w:cs="Arial" w:hint="eastAsia"/>
                <w:bCs/>
                <w:szCs w:val="21"/>
              </w:rPr>
              <w:t>，与原有系统无缝对接</w:t>
            </w:r>
            <w:r>
              <w:rPr>
                <w:rFonts w:ascii="Arial" w:hAnsi="宋体" w:cs="Arial" w:hint="eastAsia"/>
                <w:bCs/>
                <w:szCs w:val="21"/>
              </w:rPr>
              <w:t>。</w:t>
            </w:r>
          </w:p>
        </w:tc>
      </w:tr>
      <w:tr w:rsidR="004A1FDF" w14:paraId="3182C5AB" w14:textId="77777777" w:rsidTr="00305B6C">
        <w:trPr>
          <w:trHeight w:val="54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EEC09C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控制器架构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FD533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配置企业级冗余控制器。</w:t>
            </w:r>
          </w:p>
        </w:tc>
      </w:tr>
      <w:tr w:rsidR="004A1FDF" w14:paraId="26EA0B30" w14:textId="77777777" w:rsidTr="00305B6C">
        <w:trPr>
          <w:trHeight w:val="54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5F730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磁盘配置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88A30" w14:textId="77777777" w:rsidR="004A1FDF" w:rsidRDefault="004A1FDF" w:rsidP="004A1FDF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配置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12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块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6T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B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 xml:space="preserve"> 7.2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K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转速磁盘。</w:t>
            </w:r>
          </w:p>
        </w:tc>
      </w:tr>
      <w:tr w:rsidR="004A1FDF" w14:paraId="743A87FB" w14:textId="77777777" w:rsidTr="00305B6C">
        <w:trPr>
          <w:trHeight w:val="54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BBF4CE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端口配置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B8C84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配置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4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个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16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Gb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前端主机接口，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4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个万兆光纤主机接口。</w:t>
            </w:r>
          </w:p>
        </w:tc>
      </w:tr>
      <w:tr w:rsidR="004A1FDF" w14:paraId="2EBD2DE7" w14:textId="77777777" w:rsidTr="00305B6C">
        <w:trPr>
          <w:trHeight w:val="54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F94E9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吞吐配置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05156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配置不少于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64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Gbps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前端主机吞吐能力，配置不少于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96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Gbps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后端磁盘吞吐能力。</w:t>
            </w:r>
          </w:p>
        </w:tc>
      </w:tr>
      <w:tr w:rsidR="004A1FDF" w14:paraId="5C42705A" w14:textId="77777777" w:rsidTr="00305B6C">
        <w:trPr>
          <w:trHeight w:val="54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6D2B5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缓存配置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E30C8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单控制器配置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32GB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存储高速缓存，存储总共配置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64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GB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有效存储高速缓存，非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PCI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、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SSD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扩展缓存，非外置控制器缓存。</w:t>
            </w:r>
          </w:p>
        </w:tc>
      </w:tr>
      <w:tr w:rsidR="004A1FDF" w14:paraId="7ACEE636" w14:textId="77777777" w:rsidTr="00305B6C">
        <w:trPr>
          <w:trHeight w:val="54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DD04BC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上架套件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B8A8B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配置上架所需要的导轨和线缆。</w:t>
            </w:r>
          </w:p>
        </w:tc>
      </w:tr>
      <w:tr w:rsidR="004A1FDF" w14:paraId="50EDB84E" w14:textId="77777777" w:rsidTr="00305B6C">
        <w:trPr>
          <w:trHeight w:val="54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629F26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存储管理软件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0669F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配置存储统一管理软件，支持图形界面，配置满足本次容量需求的容量和前期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280T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容量管理许可。</w:t>
            </w:r>
          </w:p>
        </w:tc>
      </w:tr>
      <w:tr w:rsidR="004A1FDF" w14:paraId="6C326CAF" w14:textId="77777777" w:rsidTr="00305B6C">
        <w:trPr>
          <w:trHeight w:val="54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45A4F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lastRenderedPageBreak/>
              <w:t>主机多路径管理软件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95799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配置满足各种主机类型、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CPU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等级的多路径软件许可。至少提供不少于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30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台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X86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服务器、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30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台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Unix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服务器多路径软件正版许可，单台服务器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CPU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数量均在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8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路以上。</w:t>
            </w:r>
          </w:p>
        </w:tc>
      </w:tr>
      <w:tr w:rsidR="004A1FDF" w14:paraId="42EB535C" w14:textId="77777777" w:rsidTr="00305B6C">
        <w:trPr>
          <w:trHeight w:val="54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06930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逻辑隔离软件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03AC5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配置存储逻辑分区管理软件，能够将单台存储的物理资源逻辑分成多个区域，相互隔离、互不干扰，并且能动态调整。分区数量不少于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7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个。</w:t>
            </w:r>
          </w:p>
        </w:tc>
      </w:tr>
      <w:tr w:rsidR="004A1FDF" w14:paraId="438E1152" w14:textId="77777777" w:rsidTr="00305B6C">
        <w:trPr>
          <w:trHeight w:val="54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E9C850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空间动态分配软件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68160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配置空间动态分配软件功能，所以磁盘空间可池化管理，可动态增加和缩减。对主机可超分配，且按需动态提供空间。</w:t>
            </w:r>
          </w:p>
        </w:tc>
      </w:tr>
      <w:tr w:rsidR="004A1FDF" w14:paraId="007C9D78" w14:textId="77777777" w:rsidTr="00305B6C">
        <w:trPr>
          <w:trHeight w:val="54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3B61A3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存储虚拟化软件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D84CD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配置存储虚拟化管理功能，可虚拟化接管异构存储，能够实现存储间的：统一虚拟化存储管理、数据在线迁移、数据克隆及快照复制、数据自动分层等。无需对现有存储进行格式化、无需对现有生产数据进行数据迁移，能够直接接管现有存储的数据卷，配置不限容量许可。</w:t>
            </w:r>
          </w:p>
        </w:tc>
      </w:tr>
      <w:tr w:rsidR="004A1FDF" w14:paraId="10973549" w14:textId="77777777" w:rsidTr="00305B6C">
        <w:trPr>
          <w:trHeight w:val="54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1B4C6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全冗余架构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0E1E8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设备部件全冗余架构，如，端口、磁盘、缓存、处理器、电源、风扇等等。</w:t>
            </w:r>
          </w:p>
        </w:tc>
      </w:tr>
      <w:tr w:rsidR="004A1FDF" w14:paraId="755504CE" w14:textId="77777777" w:rsidTr="00305B6C">
        <w:trPr>
          <w:trHeight w:val="54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3E73F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磁盘冗余技术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B186E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提供磁盘冗余技术，至少支持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RAID 0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、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1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、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5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、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6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、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10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技术。</w:t>
            </w:r>
          </w:p>
        </w:tc>
      </w:tr>
      <w:tr w:rsidR="004A1FDF" w14:paraId="03D5D004" w14:textId="77777777" w:rsidTr="00305B6C">
        <w:trPr>
          <w:trHeight w:val="54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652AA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缓存掉电保护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E191A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能够提供永久缓存掉电保护技术，并详细说明采用的技术手段，并提供所需要的额外硬件资源，不得占用基本配置要求中的物理资源。</w:t>
            </w:r>
          </w:p>
        </w:tc>
      </w:tr>
      <w:tr w:rsidR="004A1FDF" w14:paraId="1F608D78" w14:textId="77777777" w:rsidTr="00305B6C">
        <w:trPr>
          <w:trHeight w:val="54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9ED90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无中断微码调整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B8B6B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支持存储微码的在线升级和降级操作。</w:t>
            </w:r>
          </w:p>
        </w:tc>
      </w:tr>
      <w:tr w:rsidR="004A1FDF" w14:paraId="44C4B476" w14:textId="77777777" w:rsidTr="00305B6C">
        <w:trPr>
          <w:trHeight w:val="54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00956" w14:textId="77777777" w:rsidR="004A1FDF" w:rsidRDefault="004A1FDF" w:rsidP="00EF11CD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磁盘扩展能力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312CB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单台非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Cluster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，磁盘扩展能力不少于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264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块。</w:t>
            </w:r>
          </w:p>
        </w:tc>
      </w:tr>
      <w:tr w:rsidR="004A1FDF" w14:paraId="62D69695" w14:textId="77777777" w:rsidTr="00305B6C">
        <w:trPr>
          <w:trHeight w:val="54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4BEDFB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磁盘类型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58B3B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至少支持企业级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Flash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、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15K 2.5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寸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SAS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、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10K 2.5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寸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SAS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、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7.2K NL-SAS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磁盘。至少可提供如下容量规格：</w:t>
            </w:r>
          </w:p>
          <w:p w14:paraId="66EB1020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400GB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、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300GB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、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600GB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、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1.2TB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、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1.6TB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、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3.2TB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、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4TB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、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6TB</w:t>
            </w:r>
            <w:r w:rsidR="00046D2F">
              <w:rPr>
                <w:rFonts w:ascii="Arial" w:hAnsi="Arial" w:cs="Arial" w:hint="eastAsia"/>
                <w:bCs/>
                <w:color w:val="000000"/>
                <w:szCs w:val="21"/>
              </w:rPr>
              <w:t>、</w:t>
            </w:r>
            <w:r w:rsidR="00046D2F">
              <w:rPr>
                <w:rFonts w:ascii="Arial" w:hAnsi="Arial" w:cs="Arial" w:hint="eastAsia"/>
                <w:bCs/>
                <w:color w:val="000000"/>
                <w:szCs w:val="21"/>
              </w:rPr>
              <w:t>8TB</w:t>
            </w:r>
            <w:r w:rsidR="00046D2F">
              <w:rPr>
                <w:rFonts w:ascii="Arial" w:hAnsi="Arial" w:cs="Arial" w:hint="eastAsia"/>
                <w:bCs/>
                <w:color w:val="000000"/>
                <w:szCs w:val="21"/>
              </w:rPr>
              <w:t>、</w:t>
            </w:r>
            <w:r w:rsidR="00046D2F">
              <w:rPr>
                <w:rFonts w:ascii="Arial" w:hAnsi="Arial" w:cs="Arial" w:hint="eastAsia"/>
                <w:bCs/>
                <w:color w:val="000000"/>
                <w:szCs w:val="21"/>
              </w:rPr>
              <w:t>10TB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。</w:t>
            </w:r>
          </w:p>
        </w:tc>
      </w:tr>
      <w:tr w:rsidR="004A1FDF" w14:paraId="4F0F41D1" w14:textId="77777777" w:rsidTr="00305B6C">
        <w:trPr>
          <w:trHeight w:val="52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BBA34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自动分层功能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34232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支持数据自动分层功能，支持多个磁盘层次间数据块级别自动分层技术，数据块不大于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64MB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，可支持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3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层以上自动分层。</w:t>
            </w:r>
          </w:p>
        </w:tc>
      </w:tr>
      <w:tr w:rsidR="004A1FDF" w14:paraId="33F9F1D3" w14:textId="77777777" w:rsidTr="00305B6C">
        <w:trPr>
          <w:trHeight w:val="52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CDDF9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设备内数据复制功能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C5446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支持设备内克隆、快照功能。</w:t>
            </w:r>
          </w:p>
        </w:tc>
      </w:tr>
      <w:tr w:rsidR="004A1FDF" w14:paraId="63F5B8FB" w14:textId="77777777" w:rsidTr="00305B6C">
        <w:trPr>
          <w:trHeight w:val="52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BEF0D0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设备间复制功能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92824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支持同步、异步复制功能，异步复制能够保证目标端数据的一致性。能够实现与该公司最高型号的存储进行底层复制。</w:t>
            </w:r>
          </w:p>
        </w:tc>
      </w:tr>
      <w:tr w:rsidR="004A1FDF" w14:paraId="5FA07079" w14:textId="77777777" w:rsidTr="00305B6C">
        <w:trPr>
          <w:trHeight w:val="52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C64F18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双活功能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54AB9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支持两套存储之间的双活复制功能，通过存储自身实现，配置当前配置可用容量正版许可。</w:t>
            </w:r>
          </w:p>
        </w:tc>
      </w:tr>
      <w:tr w:rsidR="004A1FDF" w14:paraId="4F75C877" w14:textId="77777777" w:rsidTr="00305B6C">
        <w:trPr>
          <w:trHeight w:val="52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07C6EC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虚拟化双活功能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713F8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支持对虚拟化接管的存储实现双活复制功能。</w:t>
            </w:r>
          </w:p>
        </w:tc>
      </w:tr>
      <w:tr w:rsidR="004A1FDF" w14:paraId="6CE26D11" w14:textId="77777777" w:rsidTr="00305B6C">
        <w:trPr>
          <w:trHeight w:val="52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985FFC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双活切换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72FD3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当任意一套存储或链路故障，能够保证应用的连续运行，过程透明自动。当存储间链路出现故障，能够通过仲裁判断机制将业务切换到其中一套存储，避免脑裂现象。</w:t>
            </w:r>
          </w:p>
        </w:tc>
      </w:tr>
      <w:tr w:rsidR="004C0AC5" w14:paraId="196732BE" w14:textId="77777777" w:rsidTr="00645E81">
        <w:trPr>
          <w:trHeight w:val="538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F26F4" w14:textId="77777777" w:rsidR="004C0AC5" w:rsidRDefault="004C0AC5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备份软件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62932" w14:textId="77777777" w:rsidR="004C0AC5" w:rsidRDefault="004C0AC5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提供不限容量和平台的</w:t>
            </w:r>
            <w:r w:rsidR="007B4F2C">
              <w:rPr>
                <w:rFonts w:ascii="Arial" w:hAnsi="Arial" w:cs="Arial" w:hint="eastAsia"/>
                <w:bCs/>
                <w:color w:val="000000"/>
                <w:szCs w:val="21"/>
              </w:rPr>
              <w:t>同品牌备份软件一套。</w:t>
            </w:r>
          </w:p>
        </w:tc>
      </w:tr>
      <w:tr w:rsidR="004A1FDF" w14:paraId="0CD648D8" w14:textId="77777777" w:rsidTr="00305B6C">
        <w:trPr>
          <w:trHeight w:val="52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1252C1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双活仲裁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D84A4" w14:textId="77777777" w:rsidR="004A1FDF" w:rsidRDefault="004A1FDF" w:rsidP="00305B6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必须通过存储实现双活仲裁机制，提高仲裁设备的稳定和可靠性。</w:t>
            </w:r>
          </w:p>
        </w:tc>
      </w:tr>
    </w:tbl>
    <w:p w14:paraId="13B541F7" w14:textId="77777777" w:rsidR="004A1FDF" w:rsidRDefault="004A1FDF">
      <w:pPr>
        <w:widowControl/>
        <w:spacing w:line="360" w:lineRule="auto"/>
        <w:rPr>
          <w:rFonts w:ascii="宋体" w:hAnsi="宋体"/>
          <w:b/>
          <w:kern w:val="0"/>
          <w:sz w:val="24"/>
        </w:rPr>
      </w:pPr>
    </w:p>
    <w:p w14:paraId="2BB05CC0" w14:textId="77777777" w:rsidR="004C0AC5" w:rsidRDefault="004C0AC5">
      <w:pPr>
        <w:widowControl/>
        <w:spacing w:line="360" w:lineRule="auto"/>
        <w:rPr>
          <w:rFonts w:ascii="宋体" w:hAnsi="宋体"/>
          <w:b/>
          <w:kern w:val="0"/>
          <w:sz w:val="24"/>
        </w:rPr>
      </w:pPr>
    </w:p>
    <w:p w14:paraId="27E2F82F" w14:textId="77777777" w:rsidR="004C0AC5" w:rsidRDefault="004C0AC5">
      <w:pPr>
        <w:widowControl/>
        <w:spacing w:line="360" w:lineRule="auto"/>
        <w:rPr>
          <w:rFonts w:ascii="宋体" w:hAnsi="宋体"/>
          <w:b/>
          <w:kern w:val="0"/>
          <w:sz w:val="24"/>
        </w:rPr>
      </w:pPr>
    </w:p>
    <w:p w14:paraId="4957F306" w14:textId="77777777" w:rsidR="00EF11CD" w:rsidRDefault="00EF11CD">
      <w:pPr>
        <w:widowControl/>
        <w:spacing w:line="360" w:lineRule="auto"/>
        <w:rPr>
          <w:rFonts w:ascii="宋体" w:hAnsi="宋体"/>
          <w:b/>
          <w:kern w:val="0"/>
          <w:sz w:val="24"/>
        </w:rPr>
      </w:pPr>
    </w:p>
    <w:p w14:paraId="4E12FFC0" w14:textId="77777777" w:rsidR="00E826E1" w:rsidRDefault="00D30F07">
      <w:pPr>
        <w:widowControl/>
        <w:spacing w:line="360" w:lineRule="auto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4、保修期和售后服务要求</w:t>
      </w:r>
    </w:p>
    <w:p w14:paraId="49EA4908" w14:textId="77777777" w:rsidR="00E826E1" w:rsidRDefault="00D30F07">
      <w:pPr>
        <w:pStyle w:val="11"/>
        <w:widowControl/>
        <w:numPr>
          <w:ilvl w:val="0"/>
          <w:numId w:val="1"/>
        </w:numPr>
        <w:spacing w:line="360" w:lineRule="auto"/>
        <w:ind w:firstLineChars="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原厂技3年</w:t>
      </w:r>
      <w:r w:rsidR="004A1FDF">
        <w:rPr>
          <w:rFonts w:ascii="宋体" w:hAnsi="宋体" w:hint="eastAsia"/>
          <w:kern w:val="0"/>
          <w:sz w:val="24"/>
        </w:rPr>
        <w:t>免费质保</w:t>
      </w:r>
      <w:r>
        <w:rPr>
          <w:rFonts w:ascii="宋体" w:hAnsi="宋体" w:hint="eastAsia"/>
          <w:kern w:val="0"/>
          <w:sz w:val="24"/>
        </w:rPr>
        <w:t>，出现故障报修后，供应商技术人员24小时内达到现场进行维修。</w:t>
      </w:r>
    </w:p>
    <w:p w14:paraId="3C00A168" w14:textId="77777777" w:rsidR="00DE6B61" w:rsidRPr="00DE6B61" w:rsidRDefault="00DE6B61" w:rsidP="00DE6B61">
      <w:pPr>
        <w:pStyle w:val="11"/>
        <w:widowControl/>
        <w:numPr>
          <w:ilvl w:val="0"/>
          <w:numId w:val="1"/>
        </w:numPr>
        <w:spacing w:line="360" w:lineRule="auto"/>
        <w:ind w:firstLineChars="0"/>
        <w:rPr>
          <w:rFonts w:ascii="宋体" w:hAnsi="宋体"/>
          <w:kern w:val="0"/>
          <w:sz w:val="24"/>
        </w:rPr>
      </w:pPr>
      <w:r w:rsidRPr="00096863">
        <w:rPr>
          <w:rFonts w:ascii="宋体" w:hAnsi="宋体" w:hint="eastAsia"/>
          <w:kern w:val="0"/>
          <w:sz w:val="24"/>
        </w:rPr>
        <w:t>存储在原厂商注册用户必须为“南京邮电大学”，并可通过原厂商服务电话查询。</w:t>
      </w:r>
    </w:p>
    <w:p w14:paraId="7F3CE307" w14:textId="77777777" w:rsidR="00DE6B61" w:rsidRDefault="00DE6B61" w:rsidP="00DE6B61">
      <w:pPr>
        <w:pStyle w:val="11"/>
        <w:widowControl/>
        <w:numPr>
          <w:ilvl w:val="0"/>
          <w:numId w:val="1"/>
        </w:numPr>
        <w:spacing w:line="360" w:lineRule="auto"/>
        <w:ind w:firstLineChars="0"/>
        <w:rPr>
          <w:rFonts w:ascii="宋体" w:hAnsi="宋体"/>
          <w:kern w:val="0"/>
          <w:sz w:val="24"/>
        </w:rPr>
      </w:pPr>
      <w:r w:rsidRPr="00096863">
        <w:rPr>
          <w:rFonts w:ascii="宋体" w:hAnsi="宋体" w:hint="eastAsia"/>
          <w:kern w:val="0"/>
          <w:sz w:val="24"/>
        </w:rPr>
        <w:t>投标方必须承诺后期扩容时所有部件单价不得高于本次投标价报价。</w:t>
      </w:r>
    </w:p>
    <w:p w14:paraId="5DDE71FC" w14:textId="77777777" w:rsidR="00D05760" w:rsidRPr="00DE6B61" w:rsidRDefault="00D05760" w:rsidP="00D05760">
      <w:pPr>
        <w:pStyle w:val="11"/>
        <w:widowControl/>
        <w:spacing w:line="360" w:lineRule="auto"/>
        <w:ind w:left="420" w:firstLineChars="0" w:firstLine="0"/>
        <w:rPr>
          <w:rFonts w:ascii="宋体" w:hAnsi="宋体"/>
          <w:kern w:val="0"/>
          <w:sz w:val="24"/>
        </w:rPr>
      </w:pPr>
    </w:p>
    <w:p w14:paraId="39C7C6DC" w14:textId="77777777" w:rsidR="00E826E1" w:rsidRDefault="00D30F07">
      <w:pPr>
        <w:widowControl/>
        <w:spacing w:line="360" w:lineRule="auto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5、安装调试要求和验收要求</w:t>
      </w:r>
    </w:p>
    <w:p w14:paraId="4024B87E" w14:textId="77777777" w:rsidR="00E826E1" w:rsidRPr="00DE6B61" w:rsidRDefault="00DE6B61" w:rsidP="00DE6B61">
      <w:pPr>
        <w:pStyle w:val="11"/>
        <w:widowControl/>
        <w:numPr>
          <w:ilvl w:val="0"/>
          <w:numId w:val="2"/>
        </w:numPr>
        <w:spacing w:line="360" w:lineRule="auto"/>
        <w:ind w:firstLineChars="0"/>
        <w:rPr>
          <w:rFonts w:ascii="宋体" w:hAnsi="宋体"/>
          <w:kern w:val="0"/>
          <w:sz w:val="24"/>
        </w:rPr>
      </w:pPr>
      <w:r w:rsidRPr="00104420">
        <w:rPr>
          <w:rFonts w:ascii="宋体" w:hAnsi="宋体" w:hint="eastAsia"/>
          <w:kern w:val="0"/>
          <w:sz w:val="24"/>
        </w:rPr>
        <w:t>提供原厂工程师规划、实施服务，提供所有过程文档。提供现场的实施、运维知识培训。</w:t>
      </w:r>
    </w:p>
    <w:p w14:paraId="5BC69A0E" w14:textId="77777777" w:rsidR="00E826E1" w:rsidRDefault="00D30F07">
      <w:pPr>
        <w:pStyle w:val="11"/>
        <w:widowControl/>
        <w:numPr>
          <w:ilvl w:val="0"/>
          <w:numId w:val="2"/>
        </w:numPr>
        <w:spacing w:line="360" w:lineRule="auto"/>
        <w:ind w:firstLineChars="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供应商提供的系统必须和信息办现有</w:t>
      </w:r>
      <w:r w:rsidR="00F31A1D">
        <w:rPr>
          <w:rFonts w:ascii="宋体" w:hAnsi="宋体" w:hint="eastAsia"/>
          <w:kern w:val="0"/>
          <w:sz w:val="24"/>
        </w:rPr>
        <w:t>平台进行无缝对接联调，完成扩容后的同一</w:t>
      </w:r>
      <w:r>
        <w:rPr>
          <w:rFonts w:ascii="宋体" w:hAnsi="宋体" w:hint="eastAsia"/>
          <w:kern w:val="0"/>
          <w:sz w:val="24"/>
        </w:rPr>
        <w:t>管理。</w:t>
      </w:r>
    </w:p>
    <w:p w14:paraId="6D10F495" w14:textId="77777777" w:rsidR="00E826E1" w:rsidRDefault="00D30F07">
      <w:pPr>
        <w:pStyle w:val="11"/>
        <w:widowControl/>
        <w:numPr>
          <w:ilvl w:val="0"/>
          <w:numId w:val="2"/>
        </w:numPr>
        <w:spacing w:line="360" w:lineRule="auto"/>
        <w:ind w:firstLineChars="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供应商需要免费培训使用</w:t>
      </w:r>
      <w:r>
        <w:rPr>
          <w:rFonts w:ascii="宋体" w:hAnsi="宋体"/>
          <w:kern w:val="0"/>
          <w:sz w:val="24"/>
        </w:rPr>
        <w:t>单位</w:t>
      </w:r>
      <w:r>
        <w:rPr>
          <w:rFonts w:ascii="宋体" w:hAnsi="宋体" w:hint="eastAsia"/>
          <w:kern w:val="0"/>
          <w:sz w:val="24"/>
        </w:rPr>
        <w:t>的使用操作人员，并协助使用单位一起调试，直到符合技术要求，招标方才做最终验收。</w:t>
      </w:r>
    </w:p>
    <w:p w14:paraId="3E83EEBE" w14:textId="77777777" w:rsidR="00EF11CD" w:rsidRDefault="00EF11CD">
      <w:pPr>
        <w:pStyle w:val="11"/>
        <w:widowControl/>
        <w:numPr>
          <w:ilvl w:val="0"/>
          <w:numId w:val="2"/>
        </w:numPr>
        <w:spacing w:line="360" w:lineRule="auto"/>
        <w:ind w:firstLineChars="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以上所有技术要求签订合同前需要提供官方证明（原厂彩页、原厂技术白皮书、原厂盖章技术响应表或官网资料及资料链接）备查。</w:t>
      </w:r>
    </w:p>
    <w:p w14:paraId="666AB72D" w14:textId="77777777" w:rsidR="00D30F07" w:rsidRDefault="00D30F07" w:rsidP="004B0EAD">
      <w:pPr>
        <w:pStyle w:val="11"/>
        <w:widowControl/>
        <w:spacing w:line="360" w:lineRule="auto"/>
        <w:ind w:left="420" w:firstLineChars="0" w:firstLine="0"/>
        <w:rPr>
          <w:rFonts w:ascii="宋体" w:hAnsi="宋体"/>
          <w:kern w:val="0"/>
          <w:sz w:val="24"/>
        </w:rPr>
      </w:pPr>
    </w:p>
    <w:sectPr w:rsidR="00D30F07" w:rsidSect="00E826E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3BA35" w14:textId="77777777" w:rsidR="000026FA" w:rsidRDefault="000026FA" w:rsidP="004B0EAD">
      <w:pPr>
        <w:ind w:firstLine="480"/>
      </w:pPr>
      <w:r>
        <w:separator/>
      </w:r>
    </w:p>
  </w:endnote>
  <w:endnote w:type="continuationSeparator" w:id="0">
    <w:p w14:paraId="78FD7DF0" w14:textId="77777777" w:rsidR="000026FA" w:rsidRDefault="000026FA" w:rsidP="004B0EAD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4C70D" w14:textId="77777777" w:rsidR="000026FA" w:rsidRDefault="000026FA" w:rsidP="004B0EAD">
      <w:pPr>
        <w:ind w:firstLine="480"/>
      </w:pPr>
      <w:r>
        <w:separator/>
      </w:r>
    </w:p>
  </w:footnote>
  <w:footnote w:type="continuationSeparator" w:id="0">
    <w:p w14:paraId="54BEA2CF" w14:textId="77777777" w:rsidR="000026FA" w:rsidRDefault="000026FA" w:rsidP="004B0EAD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6FA"/>
    <w:rsid w:val="00010325"/>
    <w:rsid w:val="00046D2F"/>
    <w:rsid w:val="00096863"/>
    <w:rsid w:val="00104420"/>
    <w:rsid w:val="001256AB"/>
    <w:rsid w:val="00172A27"/>
    <w:rsid w:val="00195198"/>
    <w:rsid w:val="00211BD1"/>
    <w:rsid w:val="0025693E"/>
    <w:rsid w:val="0029134A"/>
    <w:rsid w:val="002A5D05"/>
    <w:rsid w:val="002F49B8"/>
    <w:rsid w:val="002F72F7"/>
    <w:rsid w:val="003A29ED"/>
    <w:rsid w:val="0040237F"/>
    <w:rsid w:val="004365E6"/>
    <w:rsid w:val="004A1FDF"/>
    <w:rsid w:val="004B0EAD"/>
    <w:rsid w:val="004C0AC5"/>
    <w:rsid w:val="004D26FB"/>
    <w:rsid w:val="00503CB2"/>
    <w:rsid w:val="005C50DF"/>
    <w:rsid w:val="00645E81"/>
    <w:rsid w:val="0065147B"/>
    <w:rsid w:val="0067265A"/>
    <w:rsid w:val="006B2D74"/>
    <w:rsid w:val="00712642"/>
    <w:rsid w:val="00752051"/>
    <w:rsid w:val="00783481"/>
    <w:rsid w:val="007B4F2C"/>
    <w:rsid w:val="00824C75"/>
    <w:rsid w:val="00833425"/>
    <w:rsid w:val="00842AE2"/>
    <w:rsid w:val="008E5905"/>
    <w:rsid w:val="009E2BA4"/>
    <w:rsid w:val="00A324BC"/>
    <w:rsid w:val="00A424C1"/>
    <w:rsid w:val="00A477CB"/>
    <w:rsid w:val="00AA21C6"/>
    <w:rsid w:val="00AA22A3"/>
    <w:rsid w:val="00BC614C"/>
    <w:rsid w:val="00C91BD1"/>
    <w:rsid w:val="00D05760"/>
    <w:rsid w:val="00D30F07"/>
    <w:rsid w:val="00D37F9F"/>
    <w:rsid w:val="00DE6B61"/>
    <w:rsid w:val="00E826E1"/>
    <w:rsid w:val="00E93568"/>
    <w:rsid w:val="00EF11CD"/>
    <w:rsid w:val="00F31A1D"/>
    <w:rsid w:val="00FD4EE3"/>
    <w:rsid w:val="00FE7657"/>
    <w:rsid w:val="0F065BF1"/>
    <w:rsid w:val="13D24550"/>
    <w:rsid w:val="21AC4432"/>
    <w:rsid w:val="2D381F21"/>
    <w:rsid w:val="35F050E4"/>
    <w:rsid w:val="36A75114"/>
    <w:rsid w:val="3CB35AE8"/>
    <w:rsid w:val="41675F67"/>
    <w:rsid w:val="42EE6121"/>
    <w:rsid w:val="4452133B"/>
    <w:rsid w:val="4FD66806"/>
    <w:rsid w:val="60BD40EF"/>
    <w:rsid w:val="74E7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868D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6E1"/>
    <w:pPr>
      <w:widowControl w:val="0"/>
      <w:jc w:val="both"/>
    </w:pPr>
    <w:rPr>
      <w:rFonts w:ascii="Calibri" w:hAnsi="Calibri"/>
      <w:kern w:val="2"/>
      <w:sz w:val="21"/>
    </w:rPr>
  </w:style>
  <w:style w:type="paragraph" w:styleId="2">
    <w:name w:val="heading 2"/>
    <w:basedOn w:val="a"/>
    <w:next w:val="a"/>
    <w:qFormat/>
    <w:rsid w:val="00E826E1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826E1"/>
    <w:rPr>
      <w:b/>
    </w:rPr>
  </w:style>
  <w:style w:type="character" w:customStyle="1" w:styleId="Char1">
    <w:name w:val="页眉 Char1"/>
    <w:link w:val="a4"/>
    <w:rsid w:val="00E826E1"/>
    <w:rPr>
      <w:rFonts w:ascii="Calibri" w:hAnsi="Calibri"/>
      <w:kern w:val="2"/>
      <w:sz w:val="18"/>
      <w:szCs w:val="18"/>
    </w:rPr>
  </w:style>
  <w:style w:type="character" w:customStyle="1" w:styleId="font41">
    <w:name w:val="font41"/>
    <w:basedOn w:val="a0"/>
    <w:rsid w:val="00E826E1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Char">
    <w:name w:val="页脚 Char"/>
    <w:link w:val="1"/>
    <w:rsid w:val="00E826E1"/>
    <w:rPr>
      <w:sz w:val="18"/>
    </w:rPr>
  </w:style>
  <w:style w:type="character" w:customStyle="1" w:styleId="Char0">
    <w:name w:val="文档结构图 Char"/>
    <w:link w:val="a5"/>
    <w:rsid w:val="00E826E1"/>
    <w:rPr>
      <w:rFonts w:ascii="宋体" w:hAnsi="Calibri"/>
      <w:kern w:val="2"/>
      <w:sz w:val="18"/>
      <w:szCs w:val="18"/>
    </w:rPr>
  </w:style>
  <w:style w:type="character" w:customStyle="1" w:styleId="font21">
    <w:name w:val="font21"/>
    <w:basedOn w:val="a0"/>
    <w:rsid w:val="00E826E1"/>
    <w:rPr>
      <w:rFonts w:ascii="微软雅黑" w:eastAsia="微软雅黑" w:hAnsi="微软雅黑" w:cs="微软雅黑" w:hint="eastAsia"/>
      <w:i w:val="0"/>
      <w:color w:val="000000"/>
      <w:sz w:val="20"/>
      <w:szCs w:val="20"/>
      <w:u w:val="none"/>
    </w:rPr>
  </w:style>
  <w:style w:type="character" w:customStyle="1" w:styleId="font51">
    <w:name w:val="font51"/>
    <w:basedOn w:val="a0"/>
    <w:rsid w:val="00E826E1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Char2">
    <w:name w:val="页眉 Char"/>
    <w:link w:val="10"/>
    <w:rsid w:val="00E826E1"/>
    <w:rPr>
      <w:sz w:val="18"/>
    </w:rPr>
  </w:style>
  <w:style w:type="character" w:customStyle="1" w:styleId="font11">
    <w:name w:val="font11"/>
    <w:basedOn w:val="a0"/>
    <w:rsid w:val="00E826E1"/>
    <w:rPr>
      <w:rFonts w:ascii="微软雅黑" w:eastAsia="微软雅黑" w:hAnsi="微软雅黑" w:cs="微软雅黑" w:hint="eastAsia"/>
      <w:i w:val="0"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E826E1"/>
    <w:rPr>
      <w:rFonts w:ascii="微软雅黑" w:eastAsia="微软雅黑" w:hAnsi="微软雅黑" w:cs="微软雅黑" w:hint="eastAsia"/>
      <w:i w:val="0"/>
      <w:color w:val="FF0000"/>
      <w:sz w:val="20"/>
      <w:szCs w:val="20"/>
      <w:u w:val="none"/>
    </w:rPr>
  </w:style>
  <w:style w:type="character" w:customStyle="1" w:styleId="Char10">
    <w:name w:val="页脚 Char1"/>
    <w:link w:val="a6"/>
    <w:rsid w:val="00E826E1"/>
    <w:rPr>
      <w:rFonts w:ascii="Calibri" w:hAnsi="Calibri"/>
      <w:kern w:val="2"/>
      <w:sz w:val="18"/>
      <w:szCs w:val="18"/>
    </w:rPr>
  </w:style>
  <w:style w:type="paragraph" w:customStyle="1" w:styleId="11">
    <w:name w:val="列出段落1"/>
    <w:basedOn w:val="a"/>
    <w:rsid w:val="00E826E1"/>
    <w:pPr>
      <w:ind w:firstLineChars="200" w:firstLine="420"/>
    </w:pPr>
  </w:style>
  <w:style w:type="paragraph" w:customStyle="1" w:styleId="p0">
    <w:name w:val="p0"/>
    <w:basedOn w:val="a"/>
    <w:rsid w:val="00E826E1"/>
    <w:pPr>
      <w:widowControl/>
    </w:pPr>
    <w:rPr>
      <w:rFonts w:ascii="Times New Roman" w:hAnsi="Times New Roman"/>
      <w:kern w:val="0"/>
    </w:rPr>
  </w:style>
  <w:style w:type="paragraph" w:customStyle="1" w:styleId="p16">
    <w:name w:val="p16"/>
    <w:basedOn w:val="a"/>
    <w:rsid w:val="00E826E1"/>
    <w:pPr>
      <w:widowControl/>
      <w:spacing w:before="100" w:after="100"/>
      <w:jc w:val="left"/>
    </w:pPr>
    <w:rPr>
      <w:rFonts w:ascii="宋体" w:hAnsi="宋体"/>
      <w:kern w:val="0"/>
      <w:sz w:val="24"/>
    </w:rPr>
  </w:style>
  <w:style w:type="paragraph" w:customStyle="1" w:styleId="p17">
    <w:name w:val="p17"/>
    <w:basedOn w:val="a"/>
    <w:rsid w:val="00E826E1"/>
    <w:pPr>
      <w:widowControl/>
    </w:pPr>
    <w:rPr>
      <w:rFonts w:ascii="宋体" w:hAnsi="宋体"/>
      <w:kern w:val="0"/>
    </w:rPr>
  </w:style>
  <w:style w:type="paragraph" w:styleId="a4">
    <w:name w:val="header"/>
    <w:basedOn w:val="a"/>
    <w:link w:val="Char1"/>
    <w:rsid w:val="00E82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E826E1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0">
    <w:name w:val="页眉1"/>
    <w:basedOn w:val="a"/>
    <w:link w:val="Char2"/>
    <w:rsid w:val="00E82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</w:rPr>
  </w:style>
  <w:style w:type="paragraph" w:styleId="a6">
    <w:name w:val="footer"/>
    <w:basedOn w:val="a"/>
    <w:link w:val="Char10"/>
    <w:rsid w:val="00E82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ocument Map"/>
    <w:basedOn w:val="a"/>
    <w:link w:val="Char0"/>
    <w:rsid w:val="00E826E1"/>
    <w:rPr>
      <w:rFonts w:ascii="宋体"/>
      <w:sz w:val="18"/>
      <w:szCs w:val="18"/>
    </w:rPr>
  </w:style>
  <w:style w:type="paragraph" w:customStyle="1" w:styleId="1">
    <w:name w:val="页脚1"/>
    <w:basedOn w:val="a"/>
    <w:link w:val="Char"/>
    <w:rsid w:val="00E826E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1733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附：自动化学院机器人定位引导用机器视觉项目技术指标</dc:title>
  <dc:creator>zhangxinlong</dc:creator>
  <cp:lastModifiedBy>hp</cp:lastModifiedBy>
  <cp:revision>2</cp:revision>
  <dcterms:created xsi:type="dcterms:W3CDTF">2017-11-14T01:58:00Z</dcterms:created>
  <dcterms:modified xsi:type="dcterms:W3CDTF">2017-11-14T01:58:00Z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