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AF0" w:rsidRPr="003A142B" w:rsidRDefault="00D906C5" w:rsidP="00B61622">
      <w:pPr>
        <w:ind w:firstLineChars="200" w:firstLine="723"/>
        <w:rPr>
          <w:b/>
          <w:sz w:val="36"/>
          <w:szCs w:val="36"/>
        </w:rPr>
      </w:pPr>
      <w:bookmarkStart w:id="0" w:name="_Hlk9840277"/>
      <w:r w:rsidRPr="003A142B">
        <w:rPr>
          <w:rFonts w:hint="eastAsia"/>
          <w:b/>
          <w:sz w:val="36"/>
          <w:szCs w:val="36"/>
        </w:rPr>
        <w:t>锁相放大器</w:t>
      </w:r>
      <w:bookmarkEnd w:id="0"/>
      <w:r w:rsidR="00252B86" w:rsidRPr="003A142B">
        <w:rPr>
          <w:rFonts w:hint="eastAsia"/>
          <w:b/>
          <w:sz w:val="36"/>
          <w:szCs w:val="36"/>
        </w:rPr>
        <w:t>技术</w:t>
      </w:r>
      <w:r w:rsidR="00DB01D6" w:rsidRPr="003A142B">
        <w:rPr>
          <w:rFonts w:hint="eastAsia"/>
          <w:b/>
          <w:sz w:val="36"/>
          <w:szCs w:val="36"/>
        </w:rPr>
        <w:t>要求</w:t>
      </w:r>
      <w:bookmarkStart w:id="1" w:name="_GoBack"/>
      <w:bookmarkEnd w:id="1"/>
    </w:p>
    <w:p w:rsidR="00B61622" w:rsidRPr="00B61622" w:rsidRDefault="00DC6A1E" w:rsidP="00B61622">
      <w:pPr>
        <w:ind w:firstLineChars="200" w:firstLine="420"/>
        <w:rPr>
          <w:szCs w:val="21"/>
        </w:rPr>
      </w:pPr>
      <w:r w:rsidRPr="00DC6A1E">
        <w:rPr>
          <w:rFonts w:hint="eastAsia"/>
          <w:szCs w:val="21"/>
        </w:rPr>
        <w:t>锁相放大器（也称为相位检测器）是一种可以从干扰极大的环境（信噪比可低至</w:t>
      </w:r>
      <w:r w:rsidRPr="00DC6A1E">
        <w:rPr>
          <w:rFonts w:hint="eastAsia"/>
          <w:szCs w:val="21"/>
        </w:rPr>
        <w:t>-60dB</w:t>
      </w:r>
      <w:r w:rsidRPr="00DC6A1E">
        <w:rPr>
          <w:rFonts w:hint="eastAsia"/>
          <w:szCs w:val="21"/>
        </w:rPr>
        <w:t>，甚至更低）中分离出特定载波频率信号的放大器。锁相放大器是根据正弦函数的正交性原理工作的。具体来说，就是当一个频率为</w:t>
      </w:r>
      <w:r w:rsidRPr="00DC6A1E">
        <w:rPr>
          <w:noProof/>
          <w:szCs w:val="21"/>
        </w:rPr>
        <w:drawing>
          <wp:inline distT="0" distB="0" distL="0" distR="0">
            <wp:extent cx="97790" cy="122555"/>
            <wp:effectExtent l="0" t="0" r="0" b="0"/>
            <wp:docPr id="3" name="图片 3" descr="https://gss2.bdstatic.com/-fo3dSag_xI4khGkpoWK1HF6hhy/baike/s%3D13/sign=14890e0c12178a82ca3c7ba3f403a8d2/c75c10385343fbf224be52e3bc7eca8064388f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ss2.bdstatic.com/-fo3dSag_xI4khGkpoWK1HF6hhy/baike/s%3D13/sign=14890e0c12178a82ca3c7ba3f403a8d2/c75c10385343fbf224be52e3bc7eca8064388f6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 cy="122555"/>
                    </a:xfrm>
                    <a:prstGeom prst="rect">
                      <a:avLst/>
                    </a:prstGeom>
                    <a:noFill/>
                    <a:ln>
                      <a:noFill/>
                    </a:ln>
                  </pic:spPr>
                </pic:pic>
              </a:graphicData>
            </a:graphic>
          </wp:inline>
        </w:drawing>
      </w:r>
      <w:r w:rsidRPr="00DC6A1E">
        <w:rPr>
          <w:rFonts w:hint="eastAsia"/>
          <w:szCs w:val="21"/>
        </w:rPr>
        <w:t>的正弦函数与另一个频率为</w:t>
      </w:r>
      <w:r w:rsidRPr="00DC6A1E">
        <w:rPr>
          <w:rFonts w:hint="eastAsia"/>
          <w:szCs w:val="21"/>
        </w:rPr>
        <w:t xml:space="preserve"> </w:t>
      </w:r>
      <w:r w:rsidRPr="00DC6A1E">
        <w:rPr>
          <w:noProof/>
          <w:szCs w:val="21"/>
        </w:rPr>
        <w:drawing>
          <wp:inline distT="0" distB="0" distL="0" distR="0">
            <wp:extent cx="97790" cy="122555"/>
            <wp:effectExtent l="0" t="0" r="0" b="0"/>
            <wp:docPr id="2" name="图片 2" descr="https://gss2.bdstatic.com/-fo3dSag_xI4khGkpoWK1HF6hhy/baike/s%3D13/sign=14890e0c12178a82ca3c7ba3f403a8d2/c75c10385343fbf224be52e3bc7eca8064388f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ss2.bdstatic.com/-fo3dSag_xI4khGkpoWK1HF6hhy/baike/s%3D13/sign=14890e0c12178a82ca3c7ba3f403a8d2/c75c10385343fbf224be52e3bc7eca8064388f6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 cy="122555"/>
                    </a:xfrm>
                    <a:prstGeom prst="rect">
                      <a:avLst/>
                    </a:prstGeom>
                    <a:noFill/>
                    <a:ln>
                      <a:noFill/>
                    </a:ln>
                  </pic:spPr>
                </pic:pic>
              </a:graphicData>
            </a:graphic>
          </wp:inline>
        </w:drawing>
      </w:r>
      <w:r w:rsidRPr="00DC6A1E">
        <w:rPr>
          <w:rFonts w:hint="eastAsia"/>
          <w:szCs w:val="21"/>
        </w:rPr>
        <w:t xml:space="preserve"> </w:t>
      </w:r>
      <w:r w:rsidRPr="00DC6A1E">
        <w:rPr>
          <w:rFonts w:hint="eastAsia"/>
          <w:szCs w:val="21"/>
        </w:rPr>
        <w:t>的正弦函数相乘，然后对乘积进行积分（积分时间远大于两个函数的周期），其结果为零。如果</w:t>
      </w:r>
      <w:r w:rsidRPr="00DC6A1E">
        <w:rPr>
          <w:noProof/>
          <w:szCs w:val="21"/>
        </w:rPr>
        <w:drawing>
          <wp:inline distT="0" distB="0" distL="0" distR="0">
            <wp:extent cx="361950" cy="132080"/>
            <wp:effectExtent l="0" t="0" r="0" b="1270"/>
            <wp:docPr id="4" name="图片 4" descr="https://gss2.bdstatic.com/-fo3dSag_xI4khGkpoWK1HF6hhy/baike/s%3D38/sign=22bd8a0bf7edab6470724bc8f53656db/6159252dd42a2834b229c2cb57b5c9ea14cebf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ss2.bdstatic.com/-fo3dSag_xI4khGkpoWK1HF6hhy/baike/s%3D38/sign=22bd8a0bf7edab6470724bc8f53656db/6159252dd42a2834b229c2cb57b5c9ea14cebf6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132080"/>
                    </a:xfrm>
                    <a:prstGeom prst="rect">
                      <a:avLst/>
                    </a:prstGeom>
                    <a:noFill/>
                    <a:ln>
                      <a:noFill/>
                    </a:ln>
                  </pic:spPr>
                </pic:pic>
              </a:graphicData>
            </a:graphic>
          </wp:inline>
        </w:drawing>
      </w:r>
      <w:r w:rsidRPr="00DC6A1E">
        <w:rPr>
          <w:rFonts w:hint="eastAsia"/>
          <w:szCs w:val="21"/>
        </w:rPr>
        <w:t>相等，并且两个函数是同相位的，则平均值等于幅值乘积的一半。</w:t>
      </w:r>
    </w:p>
    <w:p w:rsidR="00B61622" w:rsidRDefault="00B61622" w:rsidP="00B61622">
      <w:pPr>
        <w:ind w:firstLineChars="200" w:firstLine="420"/>
        <w:rPr>
          <w:szCs w:val="21"/>
        </w:rPr>
      </w:pPr>
      <w:r>
        <w:rPr>
          <w:rFonts w:hint="eastAsia"/>
          <w:szCs w:val="21"/>
        </w:rPr>
        <w:t>一、系统组成：</w:t>
      </w:r>
    </w:p>
    <w:p w:rsidR="00070D32" w:rsidRPr="00B61622" w:rsidRDefault="00B61622" w:rsidP="00B61622">
      <w:pPr>
        <w:ind w:firstLineChars="200" w:firstLine="420"/>
        <w:rPr>
          <w:szCs w:val="21"/>
        </w:rPr>
      </w:pPr>
      <w:r>
        <w:rPr>
          <w:rFonts w:hint="eastAsia"/>
          <w:szCs w:val="21"/>
        </w:rPr>
        <w:t>1</w:t>
      </w:r>
      <w:r>
        <w:rPr>
          <w:rFonts w:hint="eastAsia"/>
          <w:szCs w:val="21"/>
        </w:rPr>
        <w:t>、</w:t>
      </w:r>
      <w:r w:rsidR="00DC6A1E" w:rsidRPr="00DC6A1E">
        <w:rPr>
          <w:rFonts w:hint="eastAsia"/>
          <w:szCs w:val="21"/>
        </w:rPr>
        <w:t>硬件平台</w:t>
      </w:r>
      <w:r w:rsidRPr="00B61622">
        <w:rPr>
          <w:rFonts w:hint="eastAsia"/>
          <w:szCs w:val="21"/>
        </w:rPr>
        <w:t xml:space="preserve">   </w:t>
      </w:r>
      <w:r w:rsidRPr="00B61622">
        <w:rPr>
          <w:rFonts w:hint="eastAsia"/>
          <w:szCs w:val="21"/>
        </w:rPr>
        <w:t>数量：</w:t>
      </w:r>
      <w:r w:rsidRPr="00B61622">
        <w:rPr>
          <w:rFonts w:hint="eastAsia"/>
          <w:szCs w:val="21"/>
        </w:rPr>
        <w:t>1</w:t>
      </w:r>
      <w:r w:rsidRPr="00B61622">
        <w:rPr>
          <w:rFonts w:hint="eastAsia"/>
          <w:szCs w:val="21"/>
        </w:rPr>
        <w:t>台</w:t>
      </w:r>
    </w:p>
    <w:p w:rsidR="00C254E3" w:rsidRPr="00DC6A1E" w:rsidRDefault="00DC6A1E" w:rsidP="00070D32">
      <w:pPr>
        <w:ind w:firstLineChars="200" w:firstLine="420"/>
        <w:rPr>
          <w:rFonts w:ascii="Times New Roman" w:hAnsi="Times New Roman" w:cs="Times New Roman"/>
          <w:szCs w:val="21"/>
        </w:rPr>
      </w:pPr>
      <w:r w:rsidRPr="00DC6A1E">
        <w:rPr>
          <w:rFonts w:ascii="Times New Roman" w:hAnsi="Times New Roman" w:cs="Times New Roman"/>
          <w:szCs w:val="21"/>
        </w:rPr>
        <w:t>模拟端采用</w:t>
      </w:r>
      <w:r w:rsidRPr="00DC6A1E">
        <w:rPr>
          <w:rFonts w:ascii="Times New Roman" w:hAnsi="Times New Roman" w:cs="Times New Roman"/>
          <w:szCs w:val="21"/>
        </w:rPr>
        <w:t>24</w:t>
      </w:r>
      <w:r w:rsidRPr="00DC6A1E">
        <w:rPr>
          <w:rFonts w:ascii="Times New Roman" w:hAnsi="Times New Roman" w:cs="Times New Roman"/>
          <w:szCs w:val="21"/>
        </w:rPr>
        <w:t>位高速</w:t>
      </w:r>
      <w:r w:rsidRPr="00DC6A1E">
        <w:rPr>
          <w:rFonts w:ascii="Times New Roman" w:hAnsi="Times New Roman" w:cs="Times New Roman"/>
          <w:szCs w:val="21"/>
        </w:rPr>
        <w:t>AD</w:t>
      </w:r>
      <w:r w:rsidRPr="00DC6A1E">
        <w:rPr>
          <w:rFonts w:ascii="Times New Roman" w:hAnsi="Times New Roman" w:cs="Times New Roman"/>
          <w:szCs w:val="21"/>
        </w:rPr>
        <w:t>采样及低噪声设计，具有更宽的动态范围；数字端采用</w:t>
      </w:r>
      <w:r w:rsidRPr="00DC6A1E">
        <w:rPr>
          <w:rFonts w:ascii="Times New Roman" w:hAnsi="Times New Roman" w:cs="Times New Roman"/>
          <w:szCs w:val="21"/>
        </w:rPr>
        <w:t>FPGA+ARM</w:t>
      </w:r>
      <w:r w:rsidRPr="00DC6A1E">
        <w:rPr>
          <w:rFonts w:ascii="Times New Roman" w:hAnsi="Times New Roman" w:cs="Times New Roman"/>
          <w:szCs w:val="21"/>
        </w:rPr>
        <w:t>技术结合，具有更高的处理带宽及更加灵活的数字架构，数字处理精度可以达到</w:t>
      </w:r>
      <w:r w:rsidRPr="00DC6A1E">
        <w:rPr>
          <w:rFonts w:ascii="Times New Roman" w:hAnsi="Times New Roman" w:cs="Times New Roman"/>
          <w:szCs w:val="21"/>
        </w:rPr>
        <w:t>48</w:t>
      </w:r>
      <w:r w:rsidRPr="00DC6A1E">
        <w:rPr>
          <w:rFonts w:ascii="Times New Roman" w:hAnsi="Times New Roman" w:cs="Times New Roman"/>
          <w:szCs w:val="21"/>
        </w:rPr>
        <w:t>位，对比传统</w:t>
      </w:r>
      <w:r w:rsidRPr="00DC6A1E">
        <w:rPr>
          <w:rFonts w:ascii="Times New Roman" w:hAnsi="Times New Roman" w:cs="Times New Roman"/>
          <w:szCs w:val="21"/>
        </w:rPr>
        <w:t>DSP</w:t>
      </w:r>
      <w:r w:rsidRPr="00DC6A1E">
        <w:rPr>
          <w:rFonts w:ascii="Times New Roman" w:hAnsi="Times New Roman" w:cs="Times New Roman"/>
          <w:szCs w:val="21"/>
        </w:rPr>
        <w:t>架构，可以轻松实现多谐波的同时测量及实时</w:t>
      </w:r>
      <w:r w:rsidRPr="00DC6A1E">
        <w:rPr>
          <w:rFonts w:ascii="Times New Roman" w:hAnsi="Times New Roman" w:cs="Times New Roman"/>
          <w:szCs w:val="21"/>
        </w:rPr>
        <w:t>FFT</w:t>
      </w:r>
      <w:r w:rsidRPr="00DC6A1E">
        <w:rPr>
          <w:rFonts w:ascii="Times New Roman" w:hAnsi="Times New Roman" w:cs="Times New Roman"/>
          <w:szCs w:val="21"/>
        </w:rPr>
        <w:t>功能。</w:t>
      </w:r>
      <w:r w:rsidR="00070D32" w:rsidRPr="00DC6A1E">
        <w:rPr>
          <w:rFonts w:ascii="Times New Roman" w:hAnsi="Times New Roman" w:cs="Times New Roman"/>
          <w:szCs w:val="21"/>
        </w:rPr>
        <w:t>频率范围：</w:t>
      </w:r>
      <w:r w:rsidR="00070D32" w:rsidRPr="00DC6A1E">
        <w:rPr>
          <w:rFonts w:ascii="Times New Roman" w:hAnsi="Times New Roman" w:cs="Times New Roman"/>
          <w:szCs w:val="21"/>
        </w:rPr>
        <w:t>0-200MHz</w:t>
      </w:r>
      <w:r w:rsidR="00C254E3" w:rsidRPr="00DC6A1E">
        <w:rPr>
          <w:rFonts w:ascii="Times New Roman" w:hAnsi="Times New Roman" w:cs="Times New Roman"/>
          <w:szCs w:val="21"/>
        </w:rPr>
        <w:t>；</w:t>
      </w:r>
      <w:r w:rsidR="00C254E3" w:rsidRPr="00DC6A1E">
        <w:rPr>
          <w:rFonts w:ascii="Times New Roman" w:hAnsi="Times New Roman" w:cs="Times New Roman"/>
          <w:szCs w:val="21"/>
        </w:rPr>
        <w:t xml:space="preserve"> </w:t>
      </w:r>
      <w:r w:rsidR="00C254E3" w:rsidRPr="00DC6A1E">
        <w:rPr>
          <w:rFonts w:ascii="Times New Roman" w:hAnsi="Times New Roman" w:cs="Times New Roman"/>
          <w:szCs w:val="21"/>
        </w:rPr>
        <w:t>采样率</w:t>
      </w:r>
      <w:r w:rsidR="00C254E3" w:rsidRPr="00DC6A1E">
        <w:rPr>
          <w:rFonts w:ascii="Times New Roman" w:hAnsi="Times New Roman" w:cs="Times New Roman"/>
          <w:szCs w:val="21"/>
        </w:rPr>
        <w:t xml:space="preserve">500Msa/s </w:t>
      </w:r>
      <w:r w:rsidR="00C254E3" w:rsidRPr="00DC6A1E">
        <w:rPr>
          <w:rFonts w:ascii="Times New Roman" w:hAnsi="Times New Roman" w:cs="Times New Roman"/>
          <w:szCs w:val="21"/>
        </w:rPr>
        <w:t>；垂直分辨率：</w:t>
      </w:r>
      <w:r w:rsidR="00C254E3" w:rsidRPr="00DC6A1E">
        <w:rPr>
          <w:rFonts w:ascii="Times New Roman" w:hAnsi="Times New Roman" w:cs="Times New Roman"/>
          <w:szCs w:val="21"/>
        </w:rPr>
        <w:t>14</w:t>
      </w:r>
      <w:r w:rsidR="00C254E3" w:rsidRPr="00DC6A1E">
        <w:rPr>
          <w:rFonts w:ascii="Times New Roman" w:hAnsi="Times New Roman" w:cs="Times New Roman"/>
          <w:szCs w:val="21"/>
        </w:rPr>
        <w:t>位；通道数：</w:t>
      </w:r>
      <w:r w:rsidR="00C254E3" w:rsidRPr="00DC6A1E">
        <w:rPr>
          <w:rFonts w:ascii="Times New Roman" w:hAnsi="Times New Roman" w:cs="Times New Roman"/>
          <w:szCs w:val="21"/>
        </w:rPr>
        <w:t>2</w:t>
      </w:r>
      <w:r w:rsidR="00C254E3" w:rsidRPr="00DC6A1E">
        <w:rPr>
          <w:rFonts w:ascii="Times New Roman" w:hAnsi="Times New Roman" w:cs="Times New Roman"/>
          <w:szCs w:val="21"/>
        </w:rPr>
        <w:t>；输出阻抗：</w:t>
      </w:r>
      <w:r w:rsidR="00C254E3" w:rsidRPr="00DC6A1E">
        <w:rPr>
          <w:rFonts w:ascii="Times New Roman" w:hAnsi="Times New Roman" w:cs="Times New Roman"/>
          <w:szCs w:val="21"/>
        </w:rPr>
        <w:t>50Ω</w:t>
      </w:r>
      <w:r w:rsidR="00C254E3" w:rsidRPr="00DC6A1E">
        <w:rPr>
          <w:rFonts w:ascii="Times New Roman" w:hAnsi="Times New Roman" w:cs="Times New Roman"/>
          <w:szCs w:val="21"/>
        </w:rPr>
        <w:t>；带多重调制功能和扫频功能，带多种接口能力，可联机计算机。</w:t>
      </w:r>
    </w:p>
    <w:p w:rsidR="00C1134A" w:rsidRDefault="00B61622" w:rsidP="00B61622">
      <w:pPr>
        <w:ind w:firstLineChars="200" w:firstLine="420"/>
        <w:rPr>
          <w:szCs w:val="21"/>
        </w:rPr>
      </w:pPr>
      <w:r>
        <w:rPr>
          <w:rFonts w:hint="eastAsia"/>
          <w:szCs w:val="21"/>
        </w:rPr>
        <w:t>2</w:t>
      </w:r>
      <w:r>
        <w:rPr>
          <w:rFonts w:hint="eastAsia"/>
          <w:szCs w:val="21"/>
        </w:rPr>
        <w:t>、</w:t>
      </w:r>
      <w:r w:rsidR="00DC6A1E" w:rsidRPr="00DC6A1E">
        <w:rPr>
          <w:rFonts w:hint="eastAsia"/>
          <w:szCs w:val="21"/>
        </w:rPr>
        <w:t>上位机操作软件</w:t>
      </w:r>
      <w:r w:rsidRPr="00B61622">
        <w:rPr>
          <w:rFonts w:hint="eastAsia"/>
          <w:szCs w:val="21"/>
        </w:rPr>
        <w:t xml:space="preserve">     </w:t>
      </w:r>
      <w:r w:rsidRPr="00B61622">
        <w:rPr>
          <w:rFonts w:hint="eastAsia"/>
          <w:szCs w:val="21"/>
        </w:rPr>
        <w:t>数量：</w:t>
      </w:r>
      <w:r w:rsidRPr="00B61622">
        <w:rPr>
          <w:rFonts w:hint="eastAsia"/>
          <w:szCs w:val="21"/>
        </w:rPr>
        <w:t>1</w:t>
      </w:r>
      <w:r w:rsidR="00DC6A1E">
        <w:rPr>
          <w:rFonts w:hint="eastAsia"/>
          <w:szCs w:val="21"/>
        </w:rPr>
        <w:t>套</w:t>
      </w:r>
    </w:p>
    <w:p w:rsidR="00381CED" w:rsidRDefault="00DC6A1E" w:rsidP="00DC6A1E">
      <w:pPr>
        <w:ind w:firstLineChars="200" w:firstLine="420"/>
        <w:rPr>
          <w:szCs w:val="21"/>
        </w:rPr>
      </w:pPr>
      <w:r w:rsidRPr="00DC6A1E">
        <w:rPr>
          <w:rFonts w:hint="eastAsia"/>
          <w:szCs w:val="21"/>
        </w:rPr>
        <w:t>随机附送</w:t>
      </w:r>
      <w:r w:rsidRPr="00DC6A1E">
        <w:rPr>
          <w:rFonts w:hint="eastAsia"/>
          <w:szCs w:val="21"/>
        </w:rPr>
        <w:t xml:space="preserve"> LabView </w:t>
      </w:r>
      <w:r w:rsidRPr="00DC6A1E">
        <w:rPr>
          <w:rFonts w:hint="eastAsia"/>
          <w:szCs w:val="21"/>
        </w:rPr>
        <w:t>上位机软件，可在</w:t>
      </w:r>
      <w:r w:rsidRPr="00DC6A1E">
        <w:rPr>
          <w:rFonts w:hint="eastAsia"/>
          <w:szCs w:val="21"/>
        </w:rPr>
        <w:t xml:space="preserve"> Windows </w:t>
      </w:r>
      <w:r w:rsidRPr="00DC6A1E">
        <w:rPr>
          <w:rFonts w:hint="eastAsia"/>
          <w:szCs w:val="21"/>
        </w:rPr>
        <w:t>平台进行自由在线操作，便于用户保存数据，及与其他仪器及软件功能进行整合，软件界面如</w:t>
      </w:r>
    </w:p>
    <w:p w:rsidR="00F20120" w:rsidRPr="00F20120" w:rsidRDefault="00B61622" w:rsidP="00F20120">
      <w:pPr>
        <w:ind w:firstLineChars="200" w:firstLine="420"/>
        <w:rPr>
          <w:szCs w:val="21"/>
        </w:rPr>
      </w:pPr>
      <w:r>
        <w:rPr>
          <w:rFonts w:hint="eastAsia"/>
          <w:szCs w:val="21"/>
        </w:rPr>
        <w:t>4</w:t>
      </w:r>
      <w:r>
        <w:rPr>
          <w:rFonts w:hint="eastAsia"/>
          <w:szCs w:val="21"/>
        </w:rPr>
        <w:t>、</w:t>
      </w:r>
      <w:r w:rsidR="00F20120" w:rsidRPr="00F20120">
        <w:rPr>
          <w:rFonts w:hint="eastAsia"/>
          <w:szCs w:val="21"/>
        </w:rPr>
        <w:t>参考信号通道</w:t>
      </w:r>
      <w:r w:rsidR="00F20120">
        <w:rPr>
          <w:rFonts w:hint="eastAsia"/>
          <w:szCs w:val="21"/>
        </w:rPr>
        <w:t xml:space="preserve"> </w:t>
      </w:r>
      <w:r w:rsidR="00F20120">
        <w:rPr>
          <w:szCs w:val="21"/>
        </w:rPr>
        <w:t xml:space="preserve"> </w:t>
      </w:r>
      <w:r w:rsidR="00F20120">
        <w:rPr>
          <w:rFonts w:hint="eastAsia"/>
          <w:szCs w:val="21"/>
        </w:rPr>
        <w:t>1</w:t>
      </w:r>
      <w:r w:rsidR="00F20120">
        <w:rPr>
          <w:rFonts w:hint="eastAsia"/>
          <w:szCs w:val="21"/>
        </w:rPr>
        <w:t>套</w:t>
      </w:r>
    </w:p>
    <w:p w:rsidR="00B61622" w:rsidRDefault="00F20120" w:rsidP="00F20120">
      <w:pPr>
        <w:ind w:firstLineChars="200" w:firstLine="420"/>
        <w:rPr>
          <w:szCs w:val="21"/>
        </w:rPr>
      </w:pPr>
      <w:r w:rsidRPr="00F20120">
        <w:rPr>
          <w:rFonts w:hint="eastAsia"/>
          <w:szCs w:val="21"/>
        </w:rPr>
        <w:t>OE1022</w:t>
      </w:r>
      <w:r w:rsidRPr="00F20120">
        <w:rPr>
          <w:rFonts w:hint="eastAsia"/>
          <w:szCs w:val="21"/>
        </w:rPr>
        <w:t>数字锁相放大器可以选择采用内部参考模式或者外部参考模式。当</w:t>
      </w:r>
      <w:r w:rsidRPr="00F20120">
        <w:rPr>
          <w:rFonts w:hint="eastAsia"/>
          <w:szCs w:val="21"/>
        </w:rPr>
        <w:t>OE1022</w:t>
      </w:r>
      <w:r w:rsidRPr="00F20120">
        <w:rPr>
          <w:rFonts w:hint="eastAsia"/>
          <w:szCs w:val="21"/>
        </w:rPr>
        <w:t>设定为内部参考信号模式时，仪器内部的高精度振荡器和数字合成算法能够产生用于和输入信号相乘的正弦波信号，此时的内部参考信号几乎不会受到相位噪声的影响。利用数字移相技术，内部参考信号的相位能够达到</w:t>
      </w:r>
      <w:r w:rsidRPr="00F20120">
        <w:rPr>
          <w:rFonts w:hint="eastAsia"/>
          <w:szCs w:val="21"/>
        </w:rPr>
        <w:t>0.01</w:t>
      </w:r>
      <w:r w:rsidRPr="00F20120">
        <w:rPr>
          <w:rFonts w:hint="eastAsia"/>
          <w:szCs w:val="21"/>
        </w:rPr>
        <w:t>°的分辨率精度。本仪器的内部参考信号模式能够在</w:t>
      </w:r>
      <w:r w:rsidRPr="00F20120">
        <w:rPr>
          <w:rFonts w:hint="eastAsia"/>
          <w:szCs w:val="21"/>
        </w:rPr>
        <w:t>1mHz</w:t>
      </w:r>
      <w:r w:rsidRPr="00F20120">
        <w:rPr>
          <w:rFonts w:hint="eastAsia"/>
          <w:szCs w:val="21"/>
        </w:rPr>
        <w:t>至</w:t>
      </w:r>
      <w:r w:rsidRPr="00F20120">
        <w:rPr>
          <w:rFonts w:hint="eastAsia"/>
          <w:szCs w:val="21"/>
        </w:rPr>
        <w:t>102kHz</w:t>
      </w:r>
      <w:r w:rsidRPr="00F20120">
        <w:rPr>
          <w:rFonts w:hint="eastAsia"/>
          <w:szCs w:val="21"/>
        </w:rPr>
        <w:t>的频率范围内正常工作。在外部参考信号模式下，正弦波信号和</w:t>
      </w:r>
      <w:r w:rsidRPr="00F20120">
        <w:rPr>
          <w:rFonts w:hint="eastAsia"/>
          <w:szCs w:val="21"/>
        </w:rPr>
        <w:t>TTL</w:t>
      </w:r>
      <w:r w:rsidRPr="00F20120">
        <w:rPr>
          <w:rFonts w:hint="eastAsia"/>
          <w:szCs w:val="21"/>
        </w:rPr>
        <w:t>逻辑电平均可作为外部参考信号。外部参考信号的上升沿或者下降沿会触发内部的锁相环</w:t>
      </w:r>
      <w:r w:rsidRPr="00F20120">
        <w:rPr>
          <w:rFonts w:hint="eastAsia"/>
          <w:szCs w:val="21"/>
        </w:rPr>
        <w:t>(PLL)</w:t>
      </w:r>
      <w:r w:rsidRPr="00F20120">
        <w:rPr>
          <w:rFonts w:hint="eastAsia"/>
          <w:szCs w:val="21"/>
        </w:rPr>
        <w:t>进行锁定动作。</w:t>
      </w:r>
    </w:p>
    <w:p w:rsidR="00F20120" w:rsidRDefault="00F20120" w:rsidP="00F20120">
      <w:pPr>
        <w:pStyle w:val="Default"/>
        <w:ind w:firstLine="400"/>
        <w:rPr>
          <w:sz w:val="20"/>
          <w:szCs w:val="20"/>
        </w:rPr>
      </w:pPr>
      <w:r>
        <w:rPr>
          <w:rFonts w:hint="eastAsia"/>
          <w:sz w:val="20"/>
          <w:szCs w:val="20"/>
        </w:rPr>
        <w:t>5</w:t>
      </w:r>
      <w:r>
        <w:rPr>
          <w:rFonts w:hint="eastAsia"/>
          <w:szCs w:val="21"/>
        </w:rPr>
        <w:t>、</w:t>
      </w:r>
      <w:r w:rsidRPr="00B14CA4">
        <w:rPr>
          <w:rFonts w:asciiTheme="minorHAnsi" w:eastAsiaTheme="minorEastAsia" w:cstheme="minorBidi" w:hint="eastAsia"/>
          <w:color w:val="auto"/>
          <w:kern w:val="2"/>
          <w:sz w:val="21"/>
          <w:szCs w:val="21"/>
        </w:rPr>
        <w:t>电气隔离的</w:t>
      </w:r>
      <w:r w:rsidRPr="00B14CA4">
        <w:rPr>
          <w:rFonts w:asciiTheme="minorHAnsi" w:eastAsiaTheme="minorEastAsia" w:cstheme="minorBidi"/>
          <w:color w:val="auto"/>
          <w:kern w:val="2"/>
          <w:sz w:val="21"/>
          <w:szCs w:val="21"/>
        </w:rPr>
        <w:t>USB</w:t>
      </w:r>
      <w:r w:rsidRPr="00B14CA4">
        <w:rPr>
          <w:rFonts w:asciiTheme="minorHAnsi" w:eastAsiaTheme="minorEastAsia" w:cstheme="minorBidi" w:hint="eastAsia"/>
          <w:color w:val="auto"/>
          <w:kern w:val="2"/>
          <w:sz w:val="21"/>
          <w:szCs w:val="21"/>
        </w:rPr>
        <w:t>接口</w:t>
      </w:r>
      <w:r w:rsidR="00B34666">
        <w:rPr>
          <w:rFonts w:asciiTheme="minorHAnsi" w:eastAsiaTheme="minorEastAsia" w:cstheme="minorBidi" w:hint="eastAsia"/>
          <w:color w:val="auto"/>
          <w:kern w:val="2"/>
          <w:sz w:val="21"/>
          <w:szCs w:val="21"/>
        </w:rPr>
        <w:t xml:space="preserve"> </w:t>
      </w:r>
      <w:r w:rsidR="00B34666">
        <w:rPr>
          <w:rFonts w:asciiTheme="minorHAnsi" w:eastAsiaTheme="minorEastAsia" w:cstheme="minorBidi"/>
          <w:color w:val="auto"/>
          <w:kern w:val="2"/>
          <w:sz w:val="21"/>
          <w:szCs w:val="21"/>
        </w:rPr>
        <w:t xml:space="preserve">  </w:t>
      </w:r>
      <w:r w:rsidR="00B34666">
        <w:rPr>
          <w:rFonts w:asciiTheme="minorHAnsi" w:eastAsiaTheme="minorEastAsia" w:cstheme="minorBidi" w:hint="eastAsia"/>
          <w:color w:val="auto"/>
          <w:kern w:val="2"/>
          <w:sz w:val="21"/>
          <w:szCs w:val="21"/>
        </w:rPr>
        <w:t>1</w:t>
      </w:r>
      <w:r w:rsidR="00B34666">
        <w:rPr>
          <w:rFonts w:asciiTheme="minorHAnsi" w:eastAsiaTheme="minorEastAsia" w:cstheme="minorBidi" w:hint="eastAsia"/>
          <w:color w:val="auto"/>
          <w:kern w:val="2"/>
          <w:sz w:val="21"/>
          <w:szCs w:val="21"/>
        </w:rPr>
        <w:t>个</w:t>
      </w:r>
    </w:p>
    <w:p w:rsidR="00F20120" w:rsidRPr="00F20120" w:rsidRDefault="00F20120" w:rsidP="00F20120">
      <w:pPr>
        <w:pStyle w:val="Default"/>
        <w:ind w:firstLine="400"/>
        <w:rPr>
          <w:rFonts w:asciiTheme="minorHAnsi" w:eastAsiaTheme="minorEastAsia" w:cstheme="minorBidi"/>
          <w:color w:val="auto"/>
          <w:kern w:val="2"/>
          <w:sz w:val="21"/>
          <w:szCs w:val="21"/>
        </w:rPr>
      </w:pPr>
      <w:r w:rsidRPr="00F20120">
        <w:rPr>
          <w:rFonts w:asciiTheme="minorHAnsi" w:eastAsiaTheme="minorEastAsia" w:cstheme="minorBidi" w:hint="eastAsia"/>
          <w:color w:val="auto"/>
          <w:kern w:val="2"/>
          <w:sz w:val="21"/>
          <w:szCs w:val="21"/>
        </w:rPr>
        <w:t>采用磁电隔离技术</w:t>
      </w:r>
      <w:r w:rsidRPr="00F20120">
        <w:rPr>
          <w:rFonts w:asciiTheme="minorHAnsi" w:eastAsiaTheme="minorEastAsia" w:cstheme="minorBidi"/>
          <w:color w:val="auto"/>
          <w:kern w:val="2"/>
          <w:sz w:val="21"/>
          <w:szCs w:val="21"/>
        </w:rPr>
        <w:t>,</w:t>
      </w:r>
      <w:r w:rsidRPr="00F20120">
        <w:rPr>
          <w:rFonts w:asciiTheme="minorHAnsi" w:eastAsiaTheme="minorEastAsia" w:cstheme="minorBidi" w:hint="eastAsia"/>
          <w:color w:val="auto"/>
          <w:kern w:val="2"/>
          <w:sz w:val="21"/>
          <w:szCs w:val="21"/>
        </w:rPr>
        <w:t>实现外界噪声隔离，更加方便用户在上位机进行操作。</w:t>
      </w:r>
    </w:p>
    <w:p w:rsidR="00B34666" w:rsidRDefault="00B34666" w:rsidP="00B61622">
      <w:pPr>
        <w:ind w:firstLineChars="200" w:firstLine="420"/>
        <w:rPr>
          <w:szCs w:val="21"/>
        </w:rPr>
      </w:pPr>
    </w:p>
    <w:p w:rsidR="00B61622" w:rsidRPr="00B61622" w:rsidRDefault="00B61622" w:rsidP="00B61622">
      <w:pPr>
        <w:ind w:firstLineChars="200" w:firstLine="420"/>
        <w:rPr>
          <w:szCs w:val="21"/>
        </w:rPr>
      </w:pPr>
      <w:r>
        <w:rPr>
          <w:rFonts w:hint="eastAsia"/>
          <w:szCs w:val="21"/>
        </w:rPr>
        <w:t>二、</w:t>
      </w:r>
      <w:r w:rsidRPr="00B61622">
        <w:rPr>
          <w:rFonts w:hint="eastAsia"/>
          <w:szCs w:val="21"/>
        </w:rPr>
        <w:t>系统示意图</w:t>
      </w:r>
    </w:p>
    <w:p w:rsidR="00B61622" w:rsidRPr="00B61622" w:rsidRDefault="00F20120" w:rsidP="00B61622">
      <w:pPr>
        <w:ind w:firstLineChars="200" w:firstLine="420"/>
        <w:rPr>
          <w:szCs w:val="21"/>
        </w:rPr>
      </w:pPr>
      <w:r w:rsidRPr="00D906C5">
        <w:rPr>
          <w:rFonts w:hint="eastAsia"/>
          <w:szCs w:val="21"/>
        </w:rPr>
        <w:t>锁相放大器</w:t>
      </w:r>
      <w:r w:rsidR="00B61622" w:rsidRPr="00B61622">
        <w:rPr>
          <w:rFonts w:hint="eastAsia"/>
          <w:szCs w:val="21"/>
        </w:rPr>
        <w:t>的示意图如下图所示：</w:t>
      </w:r>
    </w:p>
    <w:p w:rsidR="00B61622" w:rsidRPr="00B61622" w:rsidRDefault="00B61622" w:rsidP="00B61622">
      <w:pPr>
        <w:ind w:firstLineChars="200" w:firstLine="420"/>
        <w:rPr>
          <w:szCs w:val="21"/>
        </w:rPr>
      </w:pPr>
      <w:r w:rsidRPr="00B61622">
        <w:rPr>
          <w:szCs w:val="21"/>
        </w:rPr>
        <w:t xml:space="preserve"> </w:t>
      </w:r>
      <w:r w:rsidR="004C168F">
        <w:rPr>
          <w:noProof/>
        </w:rPr>
        <w:drawing>
          <wp:inline distT="0" distB="0" distL="0" distR="0" wp14:anchorId="40C7D4AF" wp14:editId="5D76D3FA">
            <wp:extent cx="3670489" cy="1809843"/>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0489" cy="1809843"/>
                    </a:xfrm>
                    <a:prstGeom prst="rect">
                      <a:avLst/>
                    </a:prstGeom>
                  </pic:spPr>
                </pic:pic>
              </a:graphicData>
            </a:graphic>
          </wp:inline>
        </w:drawing>
      </w:r>
    </w:p>
    <w:p w:rsidR="00B61622" w:rsidRPr="00B61622" w:rsidRDefault="00B61622" w:rsidP="00B61622">
      <w:pPr>
        <w:ind w:firstLineChars="200" w:firstLine="420"/>
        <w:rPr>
          <w:szCs w:val="21"/>
        </w:rPr>
      </w:pPr>
    </w:p>
    <w:p w:rsidR="00B61622" w:rsidRPr="00B61622" w:rsidRDefault="00B61622" w:rsidP="00B61622">
      <w:pPr>
        <w:ind w:firstLineChars="200" w:firstLine="420"/>
        <w:rPr>
          <w:szCs w:val="21"/>
        </w:rPr>
      </w:pPr>
      <w:r>
        <w:rPr>
          <w:rFonts w:hint="eastAsia"/>
          <w:szCs w:val="21"/>
        </w:rPr>
        <w:t>三、</w:t>
      </w:r>
      <w:r w:rsidRPr="00B61622">
        <w:rPr>
          <w:rFonts w:hint="eastAsia"/>
          <w:szCs w:val="21"/>
        </w:rPr>
        <w:t>主要技术指标</w:t>
      </w:r>
    </w:p>
    <w:p w:rsidR="00B61622" w:rsidRPr="00B61622" w:rsidRDefault="00B34666" w:rsidP="00B61622">
      <w:pPr>
        <w:ind w:firstLineChars="200" w:firstLine="420"/>
        <w:rPr>
          <w:szCs w:val="21"/>
        </w:rPr>
      </w:pPr>
      <w:r w:rsidRPr="00D906C5">
        <w:rPr>
          <w:rFonts w:hint="eastAsia"/>
          <w:szCs w:val="21"/>
        </w:rPr>
        <w:t>锁相放大器</w:t>
      </w:r>
      <w:r w:rsidR="00B61622" w:rsidRPr="00B61622">
        <w:rPr>
          <w:rFonts w:hint="eastAsia"/>
          <w:szCs w:val="21"/>
        </w:rPr>
        <w:t>的主要技术指标如下表所示：</w:t>
      </w:r>
    </w:p>
    <w:tbl>
      <w:tblPr>
        <w:tblStyle w:val="a8"/>
        <w:tblW w:w="0" w:type="auto"/>
        <w:jc w:val="center"/>
        <w:tblLook w:val="04A0" w:firstRow="1" w:lastRow="0" w:firstColumn="1" w:lastColumn="0" w:noHBand="0" w:noVBand="1"/>
      </w:tblPr>
      <w:tblGrid>
        <w:gridCol w:w="2130"/>
        <w:gridCol w:w="3932"/>
      </w:tblGrid>
      <w:tr w:rsidR="00B61622" w:rsidTr="00406F6A">
        <w:trPr>
          <w:jc w:val="center"/>
        </w:trPr>
        <w:tc>
          <w:tcPr>
            <w:tcW w:w="2130" w:type="dxa"/>
            <w:vAlign w:val="center"/>
          </w:tcPr>
          <w:p w:rsidR="00B61622" w:rsidRPr="00A45B8C" w:rsidRDefault="00B61622" w:rsidP="00406F6A">
            <w:pPr>
              <w:pStyle w:val="a3"/>
              <w:spacing w:line="300" w:lineRule="auto"/>
              <w:ind w:firstLine="482"/>
              <w:jc w:val="center"/>
              <w:rPr>
                <w:rFonts w:ascii="Times New Roman" w:hAnsi="Times New Roman" w:cs="Times New Roman"/>
                <w:b/>
                <w:sz w:val="24"/>
                <w:szCs w:val="28"/>
              </w:rPr>
            </w:pPr>
            <w:r w:rsidRPr="00A45B8C">
              <w:rPr>
                <w:rFonts w:ascii="Times New Roman" w:hAnsi="Times New Roman" w:cs="Times New Roman"/>
                <w:b/>
                <w:sz w:val="24"/>
                <w:szCs w:val="28"/>
              </w:rPr>
              <w:t>参数名称</w:t>
            </w:r>
          </w:p>
        </w:tc>
        <w:tc>
          <w:tcPr>
            <w:tcW w:w="3932" w:type="dxa"/>
            <w:vAlign w:val="center"/>
          </w:tcPr>
          <w:p w:rsidR="00B61622" w:rsidRPr="00A45B8C" w:rsidRDefault="00B61622" w:rsidP="00406F6A">
            <w:pPr>
              <w:pStyle w:val="a3"/>
              <w:spacing w:line="300" w:lineRule="auto"/>
              <w:ind w:firstLine="482"/>
              <w:jc w:val="center"/>
              <w:rPr>
                <w:rFonts w:ascii="Times New Roman" w:hAnsi="Times New Roman" w:cs="Times New Roman"/>
                <w:b/>
                <w:sz w:val="24"/>
                <w:szCs w:val="28"/>
              </w:rPr>
            </w:pPr>
            <w:r w:rsidRPr="00A45B8C">
              <w:rPr>
                <w:rFonts w:ascii="Times New Roman" w:hAnsi="Times New Roman" w:cs="Times New Roman"/>
                <w:b/>
                <w:sz w:val="24"/>
                <w:szCs w:val="28"/>
              </w:rPr>
              <w:t>参数大小或描述</w:t>
            </w:r>
          </w:p>
        </w:tc>
      </w:tr>
      <w:tr w:rsidR="00B61622" w:rsidTr="00406F6A">
        <w:trPr>
          <w:jc w:val="center"/>
        </w:trPr>
        <w:tc>
          <w:tcPr>
            <w:tcW w:w="2130" w:type="dxa"/>
            <w:vAlign w:val="center"/>
          </w:tcPr>
          <w:p w:rsidR="00B61622" w:rsidRPr="00A45B8C" w:rsidRDefault="00B61622" w:rsidP="00406F6A">
            <w:pPr>
              <w:pStyle w:val="a3"/>
              <w:spacing w:line="300" w:lineRule="auto"/>
              <w:ind w:firstLine="480"/>
              <w:jc w:val="center"/>
              <w:rPr>
                <w:rFonts w:ascii="Times New Roman" w:hAnsi="Times New Roman" w:cs="Times New Roman"/>
                <w:sz w:val="24"/>
                <w:szCs w:val="28"/>
              </w:rPr>
            </w:pPr>
            <w:r w:rsidRPr="00A45B8C">
              <w:rPr>
                <w:rFonts w:ascii="Times New Roman" w:hAnsi="Times New Roman" w:cs="Times New Roman"/>
                <w:sz w:val="24"/>
                <w:szCs w:val="28"/>
              </w:rPr>
              <w:lastRenderedPageBreak/>
              <w:t>工作电压</w:t>
            </w:r>
          </w:p>
        </w:tc>
        <w:tc>
          <w:tcPr>
            <w:tcW w:w="3932" w:type="dxa"/>
            <w:vAlign w:val="center"/>
          </w:tcPr>
          <w:p w:rsidR="00B61622" w:rsidRPr="00A45B8C" w:rsidRDefault="00B61622" w:rsidP="00406F6A">
            <w:pPr>
              <w:pStyle w:val="a3"/>
              <w:spacing w:line="300" w:lineRule="auto"/>
              <w:ind w:firstLine="480"/>
              <w:jc w:val="center"/>
              <w:rPr>
                <w:rFonts w:ascii="Times New Roman" w:hAnsi="Times New Roman" w:cs="Times New Roman"/>
                <w:sz w:val="24"/>
                <w:szCs w:val="28"/>
              </w:rPr>
            </w:pPr>
            <w:r w:rsidRPr="00A45B8C">
              <w:rPr>
                <w:rFonts w:ascii="Times New Roman" w:hAnsi="Times New Roman" w:cs="Times New Roman"/>
                <w:sz w:val="24"/>
                <w:szCs w:val="28"/>
              </w:rPr>
              <w:t>220 V</w:t>
            </w:r>
          </w:p>
        </w:tc>
      </w:tr>
      <w:tr w:rsidR="00B61622" w:rsidTr="00406F6A">
        <w:trPr>
          <w:jc w:val="center"/>
        </w:trPr>
        <w:tc>
          <w:tcPr>
            <w:tcW w:w="2130" w:type="dxa"/>
            <w:vAlign w:val="center"/>
          </w:tcPr>
          <w:p w:rsidR="00B61622" w:rsidRPr="00A45B8C" w:rsidRDefault="00B607E8" w:rsidP="00406F6A">
            <w:pPr>
              <w:pStyle w:val="a3"/>
              <w:spacing w:line="300" w:lineRule="auto"/>
              <w:ind w:firstLineChars="0" w:firstLine="0"/>
              <w:jc w:val="center"/>
              <w:rPr>
                <w:rFonts w:ascii="Times New Roman" w:hAnsi="Times New Roman" w:cs="Times New Roman"/>
                <w:sz w:val="24"/>
                <w:szCs w:val="28"/>
              </w:rPr>
            </w:pPr>
            <w:r w:rsidRPr="00B607E8">
              <w:rPr>
                <w:rFonts w:ascii="Times New Roman" w:hAnsi="Times New Roman" w:cs="Times New Roman" w:hint="eastAsia"/>
                <w:sz w:val="24"/>
                <w:szCs w:val="28"/>
              </w:rPr>
              <w:t>测量范围</w:t>
            </w:r>
          </w:p>
        </w:tc>
        <w:tc>
          <w:tcPr>
            <w:tcW w:w="3932" w:type="dxa"/>
            <w:vAlign w:val="center"/>
          </w:tcPr>
          <w:p w:rsidR="00B61622" w:rsidRPr="00A45B8C" w:rsidRDefault="00B607E8" w:rsidP="00406F6A">
            <w:pPr>
              <w:pStyle w:val="a3"/>
              <w:spacing w:line="300" w:lineRule="auto"/>
              <w:ind w:firstLine="480"/>
              <w:jc w:val="center"/>
              <w:rPr>
                <w:rFonts w:ascii="Times New Roman" w:hAnsi="Times New Roman" w:cs="Times New Roman"/>
                <w:sz w:val="24"/>
                <w:szCs w:val="28"/>
              </w:rPr>
            </w:pPr>
            <w:r w:rsidRPr="00B607E8">
              <w:rPr>
                <w:rFonts w:ascii="Times New Roman" w:hAnsi="Times New Roman" w:cs="Times New Roman" w:hint="eastAsia"/>
                <w:sz w:val="24"/>
                <w:szCs w:val="28"/>
              </w:rPr>
              <w:t>1mHz</w:t>
            </w:r>
            <w:r w:rsidRPr="00B607E8">
              <w:rPr>
                <w:rFonts w:ascii="Times New Roman" w:hAnsi="Times New Roman" w:cs="Times New Roman" w:hint="eastAsia"/>
                <w:sz w:val="24"/>
                <w:szCs w:val="28"/>
              </w:rPr>
              <w:t>至</w:t>
            </w:r>
            <w:r w:rsidRPr="00B607E8">
              <w:rPr>
                <w:rFonts w:ascii="Times New Roman" w:hAnsi="Times New Roman" w:cs="Times New Roman" w:hint="eastAsia"/>
                <w:sz w:val="24"/>
                <w:szCs w:val="28"/>
              </w:rPr>
              <w:t>102kHz</w:t>
            </w:r>
          </w:p>
        </w:tc>
      </w:tr>
      <w:tr w:rsidR="00B61622" w:rsidTr="00406F6A">
        <w:trPr>
          <w:jc w:val="center"/>
        </w:trPr>
        <w:tc>
          <w:tcPr>
            <w:tcW w:w="2130" w:type="dxa"/>
            <w:vAlign w:val="center"/>
          </w:tcPr>
          <w:p w:rsidR="00B61622" w:rsidRPr="00A45B8C" w:rsidRDefault="00B607E8" w:rsidP="00406F6A">
            <w:pPr>
              <w:pStyle w:val="a3"/>
              <w:spacing w:line="300" w:lineRule="auto"/>
              <w:ind w:firstLineChars="0" w:firstLine="0"/>
              <w:jc w:val="center"/>
              <w:rPr>
                <w:rFonts w:ascii="Times New Roman" w:hAnsi="Times New Roman" w:cs="Times New Roman"/>
                <w:sz w:val="24"/>
                <w:szCs w:val="28"/>
              </w:rPr>
            </w:pPr>
            <w:r w:rsidRPr="00B607E8">
              <w:rPr>
                <w:rFonts w:ascii="Times New Roman" w:hAnsi="Times New Roman" w:cs="Times New Roman" w:hint="eastAsia"/>
                <w:sz w:val="24"/>
                <w:szCs w:val="28"/>
              </w:rPr>
              <w:t>时间常数</w:t>
            </w:r>
          </w:p>
        </w:tc>
        <w:tc>
          <w:tcPr>
            <w:tcW w:w="3932" w:type="dxa"/>
            <w:vAlign w:val="center"/>
          </w:tcPr>
          <w:p w:rsidR="00B61622" w:rsidRPr="00A45B8C" w:rsidRDefault="00B607E8" w:rsidP="00406F6A">
            <w:pPr>
              <w:spacing w:line="300" w:lineRule="auto"/>
              <w:ind w:firstLineChars="150" w:firstLine="360"/>
              <w:jc w:val="center"/>
              <w:rPr>
                <w:rFonts w:ascii="Times New Roman" w:hAnsi="Times New Roman" w:cs="Times New Roman"/>
                <w:sz w:val="24"/>
                <w:szCs w:val="28"/>
              </w:rPr>
            </w:pPr>
            <w:r w:rsidRPr="00B607E8">
              <w:rPr>
                <w:rFonts w:ascii="Times New Roman" w:hAnsi="Times New Roman" w:cs="Times New Roman" w:hint="eastAsia"/>
                <w:sz w:val="24"/>
                <w:szCs w:val="28"/>
              </w:rPr>
              <w:t>10us</w:t>
            </w:r>
            <w:r w:rsidRPr="00B607E8">
              <w:rPr>
                <w:rFonts w:ascii="Times New Roman" w:hAnsi="Times New Roman" w:cs="Times New Roman" w:hint="eastAsia"/>
                <w:sz w:val="24"/>
                <w:szCs w:val="28"/>
              </w:rPr>
              <w:t>至</w:t>
            </w:r>
            <w:r w:rsidRPr="00B607E8">
              <w:rPr>
                <w:rFonts w:ascii="Times New Roman" w:hAnsi="Times New Roman" w:cs="Times New Roman" w:hint="eastAsia"/>
                <w:sz w:val="24"/>
                <w:szCs w:val="28"/>
              </w:rPr>
              <w:t>3ks</w:t>
            </w:r>
          </w:p>
        </w:tc>
      </w:tr>
      <w:tr w:rsidR="00B61622" w:rsidTr="00406F6A">
        <w:trPr>
          <w:jc w:val="center"/>
        </w:trPr>
        <w:tc>
          <w:tcPr>
            <w:tcW w:w="2130" w:type="dxa"/>
            <w:vAlign w:val="center"/>
          </w:tcPr>
          <w:p w:rsidR="00B61622" w:rsidRPr="00A45B8C" w:rsidRDefault="00B607E8" w:rsidP="00406F6A">
            <w:pPr>
              <w:pStyle w:val="a3"/>
              <w:spacing w:line="300" w:lineRule="auto"/>
              <w:ind w:firstLineChars="0" w:firstLine="0"/>
              <w:jc w:val="center"/>
              <w:rPr>
                <w:rFonts w:ascii="Times New Roman" w:hAnsi="Times New Roman" w:cs="Times New Roman"/>
                <w:sz w:val="24"/>
                <w:szCs w:val="28"/>
              </w:rPr>
            </w:pPr>
            <w:r w:rsidRPr="00B607E8">
              <w:rPr>
                <w:rFonts w:ascii="Times New Roman" w:hAnsi="Times New Roman" w:cs="Times New Roman" w:hint="eastAsia"/>
                <w:sz w:val="24"/>
                <w:szCs w:val="28"/>
              </w:rPr>
              <w:t>动态储备</w:t>
            </w:r>
          </w:p>
        </w:tc>
        <w:tc>
          <w:tcPr>
            <w:tcW w:w="3932" w:type="dxa"/>
            <w:vAlign w:val="center"/>
          </w:tcPr>
          <w:p w:rsidR="00B61622" w:rsidRPr="00A45B8C" w:rsidRDefault="00B607E8" w:rsidP="00406F6A">
            <w:pPr>
              <w:pStyle w:val="a3"/>
              <w:spacing w:line="300" w:lineRule="auto"/>
              <w:ind w:firstLineChars="0" w:firstLine="0"/>
              <w:jc w:val="center"/>
              <w:rPr>
                <w:rFonts w:ascii="Times New Roman" w:hAnsi="Times New Roman" w:cs="Times New Roman"/>
                <w:sz w:val="24"/>
                <w:szCs w:val="28"/>
              </w:rPr>
            </w:pPr>
            <w:r w:rsidRPr="00B607E8">
              <w:rPr>
                <w:rFonts w:ascii="Times New Roman" w:hAnsi="Times New Roman" w:cs="Times New Roman" w:hint="eastAsia"/>
                <w:sz w:val="24"/>
                <w:szCs w:val="28"/>
              </w:rPr>
              <w:t>大于</w:t>
            </w:r>
            <w:r w:rsidRPr="00B607E8">
              <w:rPr>
                <w:rFonts w:ascii="Times New Roman" w:hAnsi="Times New Roman" w:cs="Times New Roman" w:hint="eastAsia"/>
                <w:sz w:val="24"/>
                <w:szCs w:val="28"/>
              </w:rPr>
              <w:t>100dB</w:t>
            </w:r>
          </w:p>
        </w:tc>
      </w:tr>
      <w:tr w:rsidR="00B61622" w:rsidTr="00406F6A">
        <w:trPr>
          <w:jc w:val="center"/>
        </w:trPr>
        <w:tc>
          <w:tcPr>
            <w:tcW w:w="2130" w:type="dxa"/>
            <w:vAlign w:val="center"/>
          </w:tcPr>
          <w:p w:rsidR="00B61622" w:rsidRPr="00A45B8C" w:rsidRDefault="00B607E8" w:rsidP="00406F6A">
            <w:pPr>
              <w:pStyle w:val="a3"/>
              <w:spacing w:line="300" w:lineRule="auto"/>
              <w:ind w:firstLineChars="0" w:firstLine="0"/>
              <w:jc w:val="center"/>
              <w:rPr>
                <w:rFonts w:ascii="Times New Roman" w:hAnsi="Times New Roman" w:cs="Times New Roman"/>
                <w:sz w:val="24"/>
                <w:szCs w:val="28"/>
              </w:rPr>
            </w:pPr>
            <w:r w:rsidRPr="00B607E8">
              <w:rPr>
                <w:rFonts w:ascii="Times New Roman" w:hAnsi="Times New Roman" w:cs="Times New Roman" w:hint="eastAsia"/>
                <w:sz w:val="24"/>
                <w:szCs w:val="28"/>
              </w:rPr>
              <w:t>噪声</w:t>
            </w:r>
          </w:p>
        </w:tc>
        <w:tc>
          <w:tcPr>
            <w:tcW w:w="3932" w:type="dxa"/>
            <w:vAlign w:val="center"/>
          </w:tcPr>
          <w:p w:rsidR="00B61622" w:rsidRPr="00A45B8C" w:rsidRDefault="00B607E8" w:rsidP="00406F6A">
            <w:pPr>
              <w:pStyle w:val="a3"/>
              <w:spacing w:line="300" w:lineRule="auto"/>
              <w:ind w:firstLineChars="0" w:firstLine="0"/>
              <w:jc w:val="center"/>
              <w:rPr>
                <w:rFonts w:ascii="Times New Roman" w:hAnsi="Times New Roman" w:cs="Times New Roman"/>
                <w:sz w:val="24"/>
                <w:szCs w:val="28"/>
              </w:rPr>
            </w:pPr>
            <w:r w:rsidRPr="00B607E8">
              <w:rPr>
                <w:rFonts w:ascii="Times New Roman" w:hAnsi="Times New Roman" w:cs="Times New Roman" w:hint="eastAsia"/>
                <w:sz w:val="24"/>
                <w:szCs w:val="28"/>
              </w:rPr>
              <w:t>&lt;6nV//</w:t>
            </w:r>
            <w:r w:rsidRPr="00B607E8">
              <w:rPr>
                <w:rFonts w:ascii="Times New Roman" w:hAnsi="Times New Roman" w:cs="Times New Roman" w:hint="eastAsia"/>
                <w:sz w:val="24"/>
                <w:szCs w:val="28"/>
              </w:rPr>
              <w:t>√</w:t>
            </w:r>
            <w:r w:rsidRPr="00B607E8">
              <w:rPr>
                <w:rFonts w:ascii="Times New Roman" w:hAnsi="Times New Roman" w:cs="Times New Roman" w:hint="eastAsia"/>
                <w:sz w:val="24"/>
                <w:szCs w:val="28"/>
              </w:rPr>
              <w:t>Hz@997Hz</w:t>
            </w:r>
          </w:p>
        </w:tc>
      </w:tr>
      <w:tr w:rsidR="00B61622" w:rsidTr="00406F6A">
        <w:trPr>
          <w:jc w:val="center"/>
        </w:trPr>
        <w:tc>
          <w:tcPr>
            <w:tcW w:w="2130" w:type="dxa"/>
            <w:vAlign w:val="center"/>
          </w:tcPr>
          <w:p w:rsidR="00B61622" w:rsidRPr="00A45B8C" w:rsidRDefault="00B607E8" w:rsidP="00406F6A">
            <w:pPr>
              <w:pStyle w:val="a3"/>
              <w:spacing w:line="300" w:lineRule="auto"/>
              <w:ind w:firstLineChars="0" w:firstLine="0"/>
              <w:jc w:val="center"/>
              <w:rPr>
                <w:rFonts w:ascii="Times New Roman" w:hAnsi="Times New Roman" w:cs="Times New Roman"/>
                <w:sz w:val="24"/>
                <w:szCs w:val="28"/>
              </w:rPr>
            </w:pPr>
            <w:r w:rsidRPr="00B607E8">
              <w:rPr>
                <w:rFonts w:ascii="Times New Roman" w:hAnsi="Times New Roman" w:cs="Times New Roman" w:hint="eastAsia"/>
                <w:sz w:val="24"/>
                <w:szCs w:val="28"/>
              </w:rPr>
              <w:t>频谱分析</w:t>
            </w:r>
          </w:p>
        </w:tc>
        <w:tc>
          <w:tcPr>
            <w:tcW w:w="3932" w:type="dxa"/>
            <w:vAlign w:val="center"/>
          </w:tcPr>
          <w:p w:rsidR="00B61622" w:rsidRPr="00A45B8C" w:rsidRDefault="00B607E8" w:rsidP="00406F6A">
            <w:pPr>
              <w:pStyle w:val="a3"/>
              <w:spacing w:line="300" w:lineRule="auto"/>
              <w:ind w:firstLineChars="0" w:firstLine="0"/>
              <w:jc w:val="center"/>
              <w:rPr>
                <w:rFonts w:ascii="Times New Roman" w:hAnsi="Times New Roman" w:cs="Times New Roman"/>
                <w:sz w:val="24"/>
                <w:szCs w:val="28"/>
              </w:rPr>
            </w:pPr>
            <w:r w:rsidRPr="00B607E8">
              <w:rPr>
                <w:rFonts w:ascii="Times New Roman" w:hAnsi="Times New Roman" w:cs="Times New Roman"/>
                <w:sz w:val="24"/>
                <w:szCs w:val="28"/>
              </w:rPr>
              <w:t>FFT</w:t>
            </w:r>
          </w:p>
        </w:tc>
      </w:tr>
      <w:tr w:rsidR="00B61622" w:rsidTr="00406F6A">
        <w:trPr>
          <w:jc w:val="center"/>
        </w:trPr>
        <w:tc>
          <w:tcPr>
            <w:tcW w:w="2130" w:type="dxa"/>
            <w:vAlign w:val="center"/>
          </w:tcPr>
          <w:p w:rsidR="00B61622" w:rsidRPr="00A45B8C" w:rsidRDefault="00B607E8" w:rsidP="00406F6A">
            <w:pPr>
              <w:pStyle w:val="a3"/>
              <w:spacing w:line="300" w:lineRule="auto"/>
              <w:ind w:firstLineChars="0" w:firstLine="0"/>
              <w:jc w:val="center"/>
              <w:rPr>
                <w:rFonts w:ascii="Times New Roman" w:hAnsi="Times New Roman" w:cs="Times New Roman"/>
                <w:sz w:val="24"/>
                <w:szCs w:val="28"/>
              </w:rPr>
            </w:pPr>
            <w:r w:rsidRPr="00B607E8">
              <w:rPr>
                <w:rFonts w:ascii="Times New Roman" w:hAnsi="Times New Roman" w:cs="Times New Roman" w:hint="eastAsia"/>
                <w:sz w:val="24"/>
                <w:szCs w:val="28"/>
              </w:rPr>
              <w:t>色显示屏</w:t>
            </w:r>
          </w:p>
        </w:tc>
        <w:tc>
          <w:tcPr>
            <w:tcW w:w="3932" w:type="dxa"/>
            <w:vAlign w:val="center"/>
          </w:tcPr>
          <w:p w:rsidR="00B61622" w:rsidRPr="00A45B8C" w:rsidRDefault="00B607E8" w:rsidP="00406F6A">
            <w:pPr>
              <w:pStyle w:val="a3"/>
              <w:spacing w:line="300" w:lineRule="auto"/>
              <w:ind w:firstLineChars="0" w:firstLine="0"/>
              <w:jc w:val="center"/>
              <w:rPr>
                <w:rFonts w:ascii="Times New Roman" w:hAnsi="Times New Roman" w:cs="Times New Roman"/>
                <w:sz w:val="24"/>
                <w:szCs w:val="28"/>
              </w:rPr>
            </w:pPr>
            <w:r w:rsidRPr="00B607E8">
              <w:rPr>
                <w:rFonts w:ascii="Times New Roman" w:hAnsi="Times New Roman" w:cs="Times New Roman" w:hint="eastAsia"/>
                <w:sz w:val="24"/>
                <w:szCs w:val="28"/>
              </w:rPr>
              <w:t>5.6</w:t>
            </w:r>
            <w:r w:rsidRPr="00B607E8">
              <w:rPr>
                <w:rFonts w:ascii="Times New Roman" w:hAnsi="Times New Roman" w:cs="Times New Roman" w:hint="eastAsia"/>
                <w:sz w:val="24"/>
                <w:szCs w:val="28"/>
              </w:rPr>
              <w:t>英寸彩色</w:t>
            </w:r>
          </w:p>
        </w:tc>
      </w:tr>
      <w:tr w:rsidR="00B61622" w:rsidTr="00406F6A">
        <w:trPr>
          <w:jc w:val="center"/>
        </w:trPr>
        <w:tc>
          <w:tcPr>
            <w:tcW w:w="2130" w:type="dxa"/>
            <w:vAlign w:val="center"/>
          </w:tcPr>
          <w:p w:rsidR="00B61622" w:rsidRPr="00A45B8C" w:rsidRDefault="00B61622" w:rsidP="00406F6A">
            <w:pPr>
              <w:pStyle w:val="a3"/>
              <w:spacing w:line="300" w:lineRule="auto"/>
              <w:ind w:firstLineChars="0" w:firstLine="0"/>
              <w:jc w:val="center"/>
              <w:rPr>
                <w:rFonts w:ascii="Times New Roman" w:hAnsi="Times New Roman" w:cs="Times New Roman"/>
                <w:sz w:val="24"/>
                <w:szCs w:val="28"/>
              </w:rPr>
            </w:pPr>
            <w:r w:rsidRPr="00A45B8C">
              <w:rPr>
                <w:rFonts w:ascii="Times New Roman" w:hAnsi="Times New Roman" w:cs="Times New Roman"/>
                <w:sz w:val="24"/>
                <w:szCs w:val="28"/>
              </w:rPr>
              <w:t>接口类型</w:t>
            </w:r>
          </w:p>
        </w:tc>
        <w:tc>
          <w:tcPr>
            <w:tcW w:w="3932" w:type="dxa"/>
            <w:vAlign w:val="center"/>
          </w:tcPr>
          <w:p w:rsidR="00B61622" w:rsidRPr="00A45B8C" w:rsidRDefault="00B61622" w:rsidP="00406F6A">
            <w:pPr>
              <w:pStyle w:val="a3"/>
              <w:spacing w:line="300" w:lineRule="auto"/>
              <w:ind w:firstLineChars="0" w:firstLine="0"/>
              <w:jc w:val="center"/>
              <w:rPr>
                <w:rFonts w:ascii="Times New Roman" w:hAnsi="Times New Roman" w:cs="Times New Roman"/>
                <w:sz w:val="24"/>
                <w:szCs w:val="28"/>
              </w:rPr>
            </w:pPr>
            <w:r w:rsidRPr="00A45B8C">
              <w:rPr>
                <w:rFonts w:ascii="Times New Roman" w:hAnsi="Times New Roman" w:cs="Times New Roman"/>
                <w:sz w:val="24"/>
                <w:szCs w:val="28"/>
              </w:rPr>
              <w:t>USB</w:t>
            </w:r>
            <w:r w:rsidRPr="00A45B8C">
              <w:rPr>
                <w:rFonts w:ascii="Times New Roman" w:hAnsi="Times New Roman" w:cs="Times New Roman"/>
                <w:sz w:val="24"/>
                <w:szCs w:val="28"/>
              </w:rPr>
              <w:t>或</w:t>
            </w:r>
            <w:r w:rsidRPr="00A45B8C">
              <w:rPr>
                <w:rFonts w:ascii="Times New Roman" w:hAnsi="Times New Roman" w:cs="Times New Roman"/>
                <w:sz w:val="24"/>
                <w:szCs w:val="28"/>
              </w:rPr>
              <w:t>LAN</w:t>
            </w:r>
          </w:p>
        </w:tc>
      </w:tr>
    </w:tbl>
    <w:p w:rsidR="00B61622" w:rsidRPr="00947DAA" w:rsidRDefault="00B61622" w:rsidP="00B61622">
      <w:pPr>
        <w:ind w:firstLineChars="200" w:firstLine="420"/>
        <w:rPr>
          <w:szCs w:val="21"/>
        </w:rPr>
      </w:pPr>
    </w:p>
    <w:sectPr w:rsidR="00B61622" w:rsidRPr="00947D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3EE" w:rsidRDefault="003953EE" w:rsidP="00DB01D6">
      <w:r>
        <w:separator/>
      </w:r>
    </w:p>
  </w:endnote>
  <w:endnote w:type="continuationSeparator" w:id="0">
    <w:p w:rsidR="003953EE" w:rsidRDefault="003953EE" w:rsidP="00DB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3EE" w:rsidRDefault="003953EE" w:rsidP="00DB01D6">
      <w:r>
        <w:separator/>
      </w:r>
    </w:p>
  </w:footnote>
  <w:footnote w:type="continuationSeparator" w:id="0">
    <w:p w:rsidR="003953EE" w:rsidRDefault="003953EE" w:rsidP="00DB0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A574A"/>
    <w:multiLevelType w:val="hybridMultilevel"/>
    <w:tmpl w:val="BB8EAC86"/>
    <w:lvl w:ilvl="0" w:tplc="A1220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CE3CE7"/>
    <w:multiLevelType w:val="hybridMultilevel"/>
    <w:tmpl w:val="D6B0B86C"/>
    <w:lvl w:ilvl="0" w:tplc="B3266FC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F0"/>
    <w:rsid w:val="00070D32"/>
    <w:rsid w:val="00135DFE"/>
    <w:rsid w:val="00140CE7"/>
    <w:rsid w:val="00162738"/>
    <w:rsid w:val="00252B86"/>
    <w:rsid w:val="00343BAE"/>
    <w:rsid w:val="00381CED"/>
    <w:rsid w:val="003953EE"/>
    <w:rsid w:val="003A142B"/>
    <w:rsid w:val="004C168F"/>
    <w:rsid w:val="00540D65"/>
    <w:rsid w:val="00564AC9"/>
    <w:rsid w:val="007E5AF0"/>
    <w:rsid w:val="008435DC"/>
    <w:rsid w:val="0089256A"/>
    <w:rsid w:val="00894D05"/>
    <w:rsid w:val="00947DAA"/>
    <w:rsid w:val="00B14CA4"/>
    <w:rsid w:val="00B24A10"/>
    <w:rsid w:val="00B259A5"/>
    <w:rsid w:val="00B34666"/>
    <w:rsid w:val="00B607E8"/>
    <w:rsid w:val="00B61622"/>
    <w:rsid w:val="00C1134A"/>
    <w:rsid w:val="00C254E3"/>
    <w:rsid w:val="00D75C8D"/>
    <w:rsid w:val="00D906C5"/>
    <w:rsid w:val="00DB01D6"/>
    <w:rsid w:val="00DC6A1E"/>
    <w:rsid w:val="00DC6E3F"/>
    <w:rsid w:val="00E3715A"/>
    <w:rsid w:val="00F20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A6262C-7C4D-42A2-8BFB-377E46EF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5AF0"/>
    <w:pPr>
      <w:ind w:firstLineChars="200" w:firstLine="420"/>
    </w:pPr>
  </w:style>
  <w:style w:type="paragraph" w:styleId="a4">
    <w:name w:val="Balloon Text"/>
    <w:basedOn w:val="a"/>
    <w:link w:val="Char"/>
    <w:uiPriority w:val="99"/>
    <w:semiHidden/>
    <w:unhideWhenUsed/>
    <w:rsid w:val="007E5AF0"/>
    <w:rPr>
      <w:sz w:val="18"/>
      <w:szCs w:val="18"/>
    </w:rPr>
  </w:style>
  <w:style w:type="character" w:customStyle="1" w:styleId="Char">
    <w:name w:val="批注框文本 Char"/>
    <w:basedOn w:val="a0"/>
    <w:link w:val="a4"/>
    <w:uiPriority w:val="99"/>
    <w:semiHidden/>
    <w:rsid w:val="007E5AF0"/>
    <w:rPr>
      <w:sz w:val="18"/>
      <w:szCs w:val="18"/>
    </w:rPr>
  </w:style>
  <w:style w:type="paragraph" w:styleId="a5">
    <w:name w:val="Normal (Web)"/>
    <w:basedOn w:val="a"/>
    <w:uiPriority w:val="99"/>
    <w:semiHidden/>
    <w:unhideWhenUsed/>
    <w:rsid w:val="00C1134A"/>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DB01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B01D6"/>
    <w:rPr>
      <w:sz w:val="18"/>
      <w:szCs w:val="18"/>
    </w:rPr>
  </w:style>
  <w:style w:type="paragraph" w:styleId="a7">
    <w:name w:val="footer"/>
    <w:basedOn w:val="a"/>
    <w:link w:val="Char1"/>
    <w:uiPriority w:val="99"/>
    <w:unhideWhenUsed/>
    <w:rsid w:val="00DB01D6"/>
    <w:pPr>
      <w:tabs>
        <w:tab w:val="center" w:pos="4153"/>
        <w:tab w:val="right" w:pos="8306"/>
      </w:tabs>
      <w:snapToGrid w:val="0"/>
      <w:jc w:val="left"/>
    </w:pPr>
    <w:rPr>
      <w:sz w:val="18"/>
      <w:szCs w:val="18"/>
    </w:rPr>
  </w:style>
  <w:style w:type="character" w:customStyle="1" w:styleId="Char1">
    <w:name w:val="页脚 Char"/>
    <w:basedOn w:val="a0"/>
    <w:link w:val="a7"/>
    <w:uiPriority w:val="99"/>
    <w:rsid w:val="00DB01D6"/>
    <w:rPr>
      <w:sz w:val="18"/>
      <w:szCs w:val="18"/>
    </w:rPr>
  </w:style>
  <w:style w:type="table" w:styleId="a8">
    <w:name w:val="Table Grid"/>
    <w:basedOn w:val="a1"/>
    <w:uiPriority w:val="59"/>
    <w:rsid w:val="00B61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0120"/>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581431">
      <w:bodyDiv w:val="1"/>
      <w:marLeft w:val="0"/>
      <w:marRight w:val="0"/>
      <w:marTop w:val="0"/>
      <w:marBottom w:val="0"/>
      <w:divBdr>
        <w:top w:val="none" w:sz="0" w:space="0" w:color="auto"/>
        <w:left w:val="none" w:sz="0" w:space="0" w:color="auto"/>
        <w:bottom w:val="none" w:sz="0" w:space="0" w:color="auto"/>
        <w:right w:val="none" w:sz="0" w:space="0" w:color="auto"/>
      </w:divBdr>
    </w:div>
    <w:div w:id="15845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152</Words>
  <Characters>870</Characters>
  <Application>Microsoft Office Word</Application>
  <DocSecurity>0</DocSecurity>
  <Lines>7</Lines>
  <Paragraphs>2</Paragraphs>
  <ScaleCrop>false</ScaleCrop>
  <Company>SDG</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SDG</dc:creator>
  <cp:lastModifiedBy>we</cp:lastModifiedBy>
  <cp:revision>11</cp:revision>
  <dcterms:created xsi:type="dcterms:W3CDTF">2019-02-21T05:55:00Z</dcterms:created>
  <dcterms:modified xsi:type="dcterms:W3CDTF">2019-06-18T06:19:00Z</dcterms:modified>
</cp:coreProperties>
</file>