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74"/>
        <w:widowControl/>
        <w:spacing w:before="240" w:after="60" w:lineRule="auto" w:line="312"/>
        <w:jc w:val="center"/>
        <w:textAlignment w:val="baseline"/>
        <w:rPr>
          <w:rStyle w:val="style4100"/>
          <w:rFonts w:ascii="等线 Light" w:cs="Times New Roman" w:hAnsi="等线 Light"/>
          <w:b/>
          <w:bCs/>
          <w:kern w:val="28"/>
          <w:sz w:val="32"/>
          <w:szCs w:val="32"/>
          <w:lang w:val="en-US" w:bidi="ar-SA" w:eastAsia="zh-CN"/>
        </w:rPr>
      </w:pPr>
      <w:r>
        <w:rPr>
          <w:rStyle w:val="style4100"/>
          <w:rFonts w:ascii="等线 Light" w:cs="Times New Roman" w:hAnsi="等线 Light"/>
          <w:b/>
          <w:bCs/>
          <w:kern w:val="28"/>
          <w:sz w:val="32"/>
          <w:szCs w:val="32"/>
          <w:lang w:val="en-US" w:bidi="ar-SA" w:eastAsia="zh-CN"/>
        </w:rPr>
        <w:t>高性能计算及数据共享平台技术</w:t>
      </w:r>
      <w:r>
        <w:rPr>
          <w:rStyle w:val="style4100"/>
          <w:rFonts w:ascii="等线 Light" w:cs="Times New Roman" w:hAnsi="等线 Light"/>
          <w:b/>
          <w:bCs/>
          <w:kern w:val="28"/>
          <w:sz w:val="32"/>
          <w:szCs w:val="32"/>
          <w:lang w:val="en-US" w:bidi="ar-SA" w:eastAsia="zh-CN"/>
        </w:rPr>
        <w:t>要求</w:t>
      </w:r>
    </w:p>
    <w:p>
      <w:pPr>
        <w:pStyle w:val="style0"/>
        <w:spacing w:lineRule="auto" w:line="36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一、训练节点(1台)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1）性能指标：本系统采用</w:t>
      </w:r>
      <w:r>
        <w:rPr>
          <w:rStyle w:val="style4100"/>
          <w:kern w:val="2"/>
          <w:sz w:val="24"/>
          <w:szCs w:val="22"/>
          <w:lang w:val="en-US" w:bidi="ar-SA" w:eastAsia="zh-CN"/>
        </w:rPr>
        <w:t>scalable</w:t>
      </w:r>
      <w:r>
        <w:rPr>
          <w:rStyle w:val="style4100"/>
          <w:kern w:val="2"/>
          <w:sz w:val="24"/>
          <w:szCs w:val="22"/>
          <w:lang w:val="en-US" w:bidi="ar-SA" w:eastAsia="zh-CN"/>
        </w:rPr>
        <w:t>架构并发处理器，并发处理器数至少需要2个，单处理器核心数量至少</w:t>
      </w:r>
      <w:r>
        <w:rPr>
          <w:rStyle w:val="style4100"/>
          <w:kern w:val="2"/>
          <w:sz w:val="24"/>
          <w:szCs w:val="22"/>
          <w:lang w:val="en-US" w:bidi="ar-SA" w:eastAsia="zh-CN"/>
        </w:rPr>
        <w:t>8</w:t>
      </w:r>
      <w:r>
        <w:rPr>
          <w:rStyle w:val="style4100"/>
          <w:kern w:val="2"/>
          <w:sz w:val="24"/>
          <w:szCs w:val="22"/>
          <w:lang w:val="en-US" w:bidi="ar-SA" w:eastAsia="zh-CN"/>
        </w:rPr>
        <w:t>个，至少需要提供</w:t>
      </w:r>
      <w:r>
        <w:rPr>
          <w:rStyle w:val="style4100"/>
          <w:kern w:val="2"/>
          <w:sz w:val="24"/>
          <w:szCs w:val="22"/>
          <w:lang w:val="en-US" w:bidi="ar-SA" w:eastAsia="zh-CN"/>
        </w:rPr>
        <w:t>1.07</w:t>
      </w:r>
      <w:r>
        <w:rPr>
          <w:rStyle w:val="style4100"/>
          <w:kern w:val="2"/>
          <w:sz w:val="24"/>
          <w:szCs w:val="22"/>
          <w:lang w:val="en-US" w:bidi="ar-SA" w:eastAsia="zh-CN"/>
        </w:rPr>
        <w:t>万亿次每秒的浮点计算能力；工作频率至少2.</w:t>
      </w:r>
      <w:r>
        <w:rPr>
          <w:rStyle w:val="style4100"/>
          <w:kern w:val="2"/>
          <w:sz w:val="24"/>
          <w:szCs w:val="22"/>
          <w:lang w:val="en-US" w:bidi="ar-SA" w:eastAsia="zh-CN"/>
        </w:rPr>
        <w:t>1</w:t>
      </w:r>
      <w:r>
        <w:rPr>
          <w:rStyle w:val="style4100"/>
          <w:kern w:val="2"/>
          <w:sz w:val="24"/>
          <w:szCs w:val="22"/>
          <w:lang w:val="en-US" w:bidi="ar-SA" w:eastAsia="zh-CN"/>
        </w:rPr>
        <w:t>GHz；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2）数据指标：本系统采用高效数据系统，由于需要提供处理器直接数据读取，工作频率至少需要2</w:t>
      </w:r>
      <w:r>
        <w:rPr>
          <w:rStyle w:val="style4100"/>
          <w:kern w:val="2"/>
          <w:sz w:val="24"/>
          <w:szCs w:val="22"/>
          <w:lang w:val="en-US" w:bidi="ar-SA" w:eastAsia="zh-CN"/>
        </w:rPr>
        <w:t>666</w:t>
      </w:r>
      <w:r>
        <w:rPr>
          <w:rStyle w:val="style4100"/>
          <w:kern w:val="2"/>
          <w:sz w:val="24"/>
          <w:szCs w:val="22"/>
          <w:lang w:val="en-US" w:bidi="ar-SA" w:eastAsia="zh-CN"/>
        </w:rPr>
        <w:t>MHz，可分配容量每个处理核心至少需要</w:t>
      </w:r>
      <w:r>
        <w:rPr>
          <w:rStyle w:val="style4100"/>
          <w:kern w:val="2"/>
          <w:sz w:val="24"/>
          <w:szCs w:val="22"/>
          <w:lang w:val="en-US" w:bidi="ar-SA" w:eastAsia="zh-CN"/>
        </w:rPr>
        <w:t>8</w:t>
      </w:r>
      <w:r>
        <w:rPr>
          <w:rStyle w:val="style4100"/>
          <w:kern w:val="2"/>
          <w:sz w:val="24"/>
          <w:szCs w:val="22"/>
          <w:lang w:val="en-US" w:bidi="ar-SA" w:eastAsia="zh-CN"/>
        </w:rPr>
        <w:t>GB的容量；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3）高速处理模块：为提高系统的运行效率，需要额外增加加速设备，加速设备采用主动散热模式，供电环境由本系统统一供应；加速设备至少需要提供</w:t>
      </w:r>
      <w:r>
        <w:rPr>
          <w:rStyle w:val="style4100"/>
          <w:kern w:val="2"/>
          <w:sz w:val="24"/>
          <w:szCs w:val="22"/>
          <w:lang w:val="en-US" w:bidi="ar-SA" w:eastAsia="zh-CN"/>
        </w:rPr>
        <w:t>53.6</w:t>
      </w:r>
      <w:r>
        <w:rPr>
          <w:rStyle w:val="style4100"/>
          <w:kern w:val="2"/>
          <w:sz w:val="24"/>
          <w:szCs w:val="22"/>
          <w:lang w:val="en-US" w:bidi="ar-SA" w:eastAsia="zh-CN"/>
        </w:rPr>
        <w:t>万亿次每秒的单精度浮点计算能力，加速缓存空间总共需要44GB的容量，加速模块</w:t>
      </w:r>
      <w:r>
        <w:rPr>
          <w:rStyle w:val="style4100"/>
          <w:kern w:val="2"/>
          <w:sz w:val="24"/>
          <w:szCs w:val="22"/>
          <w:lang w:val="en-US" w:bidi="ar-SA" w:eastAsia="zh-CN"/>
        </w:rPr>
        <w:t>4</w:t>
      </w:r>
      <w:r>
        <w:rPr>
          <w:rStyle w:val="style4100"/>
          <w:kern w:val="2"/>
          <w:sz w:val="24"/>
          <w:szCs w:val="22"/>
          <w:lang w:val="en-US" w:bidi="ar-SA" w:eastAsia="zh-CN"/>
        </w:rPr>
        <w:t>个;最大支持</w:t>
      </w:r>
      <w:r>
        <w:rPr>
          <w:rStyle w:val="style4100"/>
          <w:kern w:val="2"/>
          <w:sz w:val="24"/>
          <w:szCs w:val="22"/>
          <w:lang w:val="en-US" w:bidi="ar-SA" w:eastAsia="zh-CN"/>
        </w:rPr>
        <w:t>4</w:t>
      </w:r>
      <w:r>
        <w:rPr>
          <w:rStyle w:val="style4100"/>
          <w:kern w:val="2"/>
          <w:sz w:val="24"/>
          <w:szCs w:val="22"/>
          <w:lang w:val="en-US" w:bidi="ar-SA" w:eastAsia="zh-CN"/>
        </w:rPr>
        <w:t>个加速模块；需配置外部专用散热套件；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4）系统存储：不少于2块SSD硬盘，单块硬盘容量≥</w:t>
      </w:r>
      <w:r>
        <w:rPr>
          <w:rStyle w:val="style4100"/>
          <w:kern w:val="2"/>
          <w:sz w:val="24"/>
          <w:szCs w:val="22"/>
          <w:lang w:val="en-US" w:bidi="ar-SA" w:eastAsia="zh-CN"/>
        </w:rPr>
        <w:t>96</w:t>
      </w:r>
      <w:r>
        <w:rPr>
          <w:rStyle w:val="style4100"/>
          <w:kern w:val="2"/>
          <w:sz w:val="24"/>
          <w:szCs w:val="22"/>
          <w:lang w:val="en-US" w:bidi="ar-SA" w:eastAsia="zh-CN"/>
        </w:rPr>
        <w:t>0</w:t>
      </w:r>
      <w:r>
        <w:rPr>
          <w:rStyle w:val="style4100"/>
          <w:kern w:val="2"/>
          <w:sz w:val="24"/>
          <w:szCs w:val="22"/>
          <w:lang w:val="en-US" w:bidi="ar-SA" w:eastAsia="zh-CN"/>
        </w:rPr>
        <w:t>G</w:t>
      </w:r>
      <w:r>
        <w:rPr>
          <w:rStyle w:val="style4100"/>
          <w:kern w:val="2"/>
          <w:sz w:val="24"/>
          <w:szCs w:val="22"/>
          <w:lang w:val="en-US" w:bidi="ar-SA" w:eastAsia="zh-CN"/>
        </w:rPr>
        <w:t>系统容量；并集成本次模型设计学习系统所需要的相应软件；IOPS必须达到</w:t>
      </w:r>
      <w:r>
        <w:rPr>
          <w:rStyle w:val="style4100"/>
          <w:kern w:val="2"/>
          <w:sz w:val="24"/>
          <w:szCs w:val="22"/>
          <w:lang w:val="en-US" w:bidi="ar-SA" w:eastAsia="zh-CN"/>
        </w:rPr>
        <w:t>8000</w:t>
      </w:r>
      <w:r>
        <w:rPr>
          <w:rStyle w:val="style4100"/>
          <w:kern w:val="2"/>
          <w:sz w:val="24"/>
          <w:szCs w:val="22"/>
          <w:lang w:val="en-US" w:bidi="ar-SA" w:eastAsia="zh-CN"/>
        </w:rPr>
        <w:t xml:space="preserve">0以上；配置冗余机制 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5）数据空间：≥</w:t>
      </w:r>
      <w:r>
        <w:rPr>
          <w:rStyle w:val="style4100"/>
          <w:kern w:val="2"/>
          <w:sz w:val="24"/>
          <w:szCs w:val="22"/>
          <w:lang w:val="en-US" w:bidi="ar-SA" w:eastAsia="zh-CN"/>
        </w:rPr>
        <w:t>1</w:t>
      </w:r>
      <w:r>
        <w:rPr>
          <w:rStyle w:val="style4100"/>
          <w:kern w:val="2"/>
          <w:sz w:val="24"/>
          <w:szCs w:val="22"/>
          <w:lang w:val="en-US" w:bidi="ar-SA" w:eastAsia="zh-CN"/>
        </w:rPr>
        <w:t>2</w:t>
      </w:r>
      <w:r>
        <w:rPr>
          <w:rStyle w:val="style4100"/>
          <w:kern w:val="2"/>
          <w:sz w:val="24"/>
          <w:szCs w:val="22"/>
          <w:lang w:val="en-US" w:bidi="ar-SA" w:eastAsia="zh-CN"/>
        </w:rPr>
        <w:t>T</w:t>
      </w:r>
      <w:r>
        <w:rPr>
          <w:rStyle w:val="style4100"/>
          <w:kern w:val="2"/>
          <w:sz w:val="24"/>
          <w:szCs w:val="22"/>
          <w:lang w:val="en-US" w:bidi="ar-SA" w:eastAsia="zh-CN"/>
        </w:rPr>
        <w:t>存储空间，</w:t>
      </w:r>
      <w:r>
        <w:rPr>
          <w:rStyle w:val="style4100"/>
          <w:kern w:val="2"/>
          <w:sz w:val="24"/>
          <w:szCs w:val="22"/>
          <w:lang w:val="en-US" w:bidi="ar-SA" w:eastAsia="zh-CN"/>
        </w:rPr>
        <w:t>在Raid5后可用8T以上空间，</w:t>
      </w:r>
      <w:r>
        <w:rPr>
          <w:rStyle w:val="style4100"/>
          <w:kern w:val="2"/>
          <w:sz w:val="24"/>
          <w:szCs w:val="22"/>
          <w:lang w:val="en-US" w:bidi="ar-SA" w:eastAsia="zh-CN"/>
        </w:rPr>
        <w:t>可支持</w:t>
      </w:r>
      <w:r>
        <w:rPr>
          <w:rStyle w:val="style4100"/>
          <w:kern w:val="2"/>
          <w:sz w:val="24"/>
          <w:szCs w:val="22"/>
          <w:lang w:val="en-US" w:bidi="ar-SA" w:eastAsia="zh-CN"/>
        </w:rPr>
        <w:t>8</w:t>
      </w:r>
      <w:r>
        <w:rPr>
          <w:rStyle w:val="style4100"/>
          <w:kern w:val="2"/>
          <w:sz w:val="24"/>
          <w:szCs w:val="22"/>
          <w:lang w:val="en-US" w:bidi="ar-SA" w:eastAsia="zh-CN"/>
        </w:rPr>
        <w:t>盘位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6）网络：板载双千兆以太网；可远程管理；</w:t>
      </w:r>
      <w:r>
        <w:rPr>
          <w:rStyle w:val="style4100"/>
          <w:kern w:val="2"/>
          <w:sz w:val="24"/>
          <w:szCs w:val="22"/>
          <w:lang w:val="en-US" w:bidi="ar-SA" w:eastAsia="zh-CN"/>
        </w:rPr>
        <w:t xml:space="preserve"> 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7）阵列卡：支持Raid 0 1 5 10缓存1G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8）供电模块：为了确保平台的稳定可靠运行，需要提供≧2000w的</w:t>
      </w:r>
      <w:r>
        <w:rPr>
          <w:rStyle w:val="style4100"/>
          <w:kern w:val="2"/>
          <w:sz w:val="24"/>
          <w:szCs w:val="22"/>
          <w:lang w:val="en-US" w:bidi="ar-SA" w:eastAsia="zh-CN"/>
        </w:rPr>
        <w:t>1</w:t>
      </w:r>
      <w:r>
        <w:rPr>
          <w:rStyle w:val="style4100"/>
          <w:kern w:val="2"/>
          <w:sz w:val="24"/>
          <w:szCs w:val="22"/>
          <w:lang w:val="en-US" w:bidi="ar-SA" w:eastAsia="zh-CN"/>
        </w:rPr>
        <w:t>+</w:t>
      </w:r>
      <w:r>
        <w:rPr>
          <w:rStyle w:val="style4100"/>
          <w:kern w:val="2"/>
          <w:sz w:val="24"/>
          <w:szCs w:val="22"/>
          <w:lang w:val="en-US" w:bidi="ar-SA" w:eastAsia="zh-CN"/>
        </w:rPr>
        <w:t>1</w:t>
      </w:r>
      <w:r>
        <w:rPr>
          <w:rStyle w:val="style4100"/>
          <w:kern w:val="2"/>
          <w:sz w:val="24"/>
          <w:szCs w:val="22"/>
          <w:lang w:val="en-US" w:bidi="ar-SA" w:eastAsia="zh-CN"/>
        </w:rPr>
        <w:t>冗余供电模块；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9）产品规格：4</w:t>
      </w:r>
      <w:r>
        <w:rPr>
          <w:rStyle w:val="style4100"/>
          <w:kern w:val="2"/>
          <w:sz w:val="24"/>
          <w:szCs w:val="22"/>
          <w:lang w:val="en-US" w:bidi="ar-SA" w:eastAsia="zh-CN"/>
        </w:rPr>
        <w:t>U</w:t>
      </w:r>
      <w:r>
        <w:rPr>
          <w:rStyle w:val="style4100"/>
          <w:kern w:val="2"/>
          <w:sz w:val="24"/>
          <w:szCs w:val="22"/>
          <w:lang w:val="en-US" w:bidi="ar-SA" w:eastAsia="zh-CN"/>
        </w:rPr>
        <w:t>机架式</w:t>
      </w:r>
    </w:p>
    <w:p>
      <w:pPr>
        <w:pStyle w:val="style0"/>
        <w:spacing w:lineRule="auto" w:line="36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监控软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件(1套)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1. SMP异构资源监控平台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最新版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并提供软著证明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2.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采用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B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/S架构设计，提供完全中文化的显示界面。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3. 一键式安装设计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4. 以图表的方式完整监控以下指标：</w:t>
      </w:r>
    </w:p>
    <w:p>
      <w:pPr>
        <w:pStyle w:val="style0"/>
        <w:tabs>
          <w:tab w:val="left" w:leader="none" w:pos="1013"/>
        </w:tabs>
        <w:spacing w:lineRule="exact" w:line="440"/>
        <w:ind w:left="240" w:leftChars="10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a. 系统CPU用量（含比例）</w:t>
      </w:r>
    </w:p>
    <w:p>
      <w:pPr>
        <w:pStyle w:val="style0"/>
        <w:tabs>
          <w:tab w:val="left" w:leader="none" w:pos="1013"/>
        </w:tabs>
        <w:spacing w:lineRule="exact" w:line="440"/>
        <w:ind w:left="240" w:leftChars="10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b. 系统內存用量（含比例）、剩余量</w:t>
      </w:r>
    </w:p>
    <w:p>
      <w:pPr>
        <w:pStyle w:val="style0"/>
        <w:tabs>
          <w:tab w:val="left" w:leader="none" w:pos="1013"/>
        </w:tabs>
        <w:spacing w:lineRule="exact" w:line="440"/>
        <w:ind w:left="240" w:leftChars="10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c. 系统硬盘用量（含比例）、剩余量</w:t>
      </w:r>
    </w:p>
    <w:p>
      <w:pPr>
        <w:pStyle w:val="style0"/>
        <w:tabs>
          <w:tab w:val="left" w:leader="none" w:pos="1013"/>
        </w:tabs>
        <w:spacing w:lineRule="exact" w:line="440"/>
        <w:ind w:left="240" w:leftChars="10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d. 系统网卡状态，如即時的上传/下载速度</w:t>
      </w:r>
    </w:p>
    <w:p>
      <w:pPr>
        <w:pStyle w:val="style0"/>
        <w:tabs>
          <w:tab w:val="left" w:leader="none" w:pos="1013"/>
        </w:tabs>
        <w:spacing w:lineRule="exact" w:line="440"/>
        <w:ind w:left="240" w:leftChars="10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e. 系统运算卡用量、剩余量</w:t>
      </w:r>
    </w:p>
    <w:p>
      <w:pPr>
        <w:pStyle w:val="style0"/>
        <w:tabs>
          <w:tab w:val="left" w:leader="none" w:pos="1013"/>
        </w:tabs>
        <w:spacing w:lineRule="exact" w:line="440"/>
        <w:ind w:left="240" w:leftChars="10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f. 系统下各张运算卡卡状态：型号、插槽位置、显存使用量、电压使用量、温度、风扇转速、负载状况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5. 图标显示界面刷新率为秒级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预装</w:t>
      </w:r>
      <w:r>
        <w:rPr>
          <w:rStyle w:val="style4100"/>
          <w:kern w:val="2"/>
          <w:sz w:val="24"/>
          <w:szCs w:val="22"/>
          <w:lang w:val="en-US" w:bidi="ar-SA" w:eastAsia="zh-CN"/>
        </w:rPr>
        <w:t>相关深度学习软件（1套）：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1. GPU CUDA 编译环境 ：CUDA Toolkit 9.2 ，GPU Driver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2. 深度学习框架：Tensorflow，mxnet，pytorch, caffe 等等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3. NVIDIA DIGITS™ GPU 训练系统，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4. Deep Learning SDK ： 深度学习原生库 CuDNN，深度学习推理引擎（TensorRT）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5. NVIDIA Docker 容器平台:包括编程、运行、系统工具、系统函数库等都打包到一个完整的文件系统中，可安装到任何一台</w:t>
      </w:r>
      <w:r>
        <w:rPr>
          <w:rStyle w:val="style4100"/>
          <w:kern w:val="2"/>
          <w:sz w:val="24"/>
          <w:szCs w:val="22"/>
          <w:lang w:val="en-US" w:bidi="ar-SA" w:eastAsia="zh-CN"/>
        </w:rPr>
        <w:t>节点</w:t>
      </w:r>
      <w:r>
        <w:rPr>
          <w:rStyle w:val="style4100"/>
          <w:kern w:val="2"/>
          <w:sz w:val="24"/>
          <w:szCs w:val="22"/>
          <w:lang w:val="en-US" w:bidi="ar-SA" w:eastAsia="zh-CN"/>
        </w:rPr>
        <w:t>上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6. 深度学习加速库：cuBLAS， cuSPARSE , NCCL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资质要求：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1.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保修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：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3年整机产品替换质保，7x24 x4小时电话网络支持，关键问题服务2小时内上门服务。终身免费上门服务支持。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2.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产品通过中国国家强制CCC认证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3.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质量管理体系符合：GB/T19001-20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16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/ISO9001：20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15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标准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4.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设备生产厂家具有10名以上NVIDIA认证的技术工程师和销售工程师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5.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投标时必须提供生产厂家针对本项目出具售后服务承诺书原件或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复印件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。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二、</w:t>
      </w:r>
      <w:r>
        <w:rPr>
          <w:rStyle w:val="style4100"/>
          <w:kern w:val="2"/>
          <w:sz w:val="24"/>
          <w:szCs w:val="22"/>
          <w:lang w:val="en-US" w:bidi="ar-SA" w:eastAsia="zh-CN"/>
        </w:rPr>
        <w:t>存储</w:t>
      </w:r>
      <w:r>
        <w:rPr>
          <w:rStyle w:val="style4100"/>
          <w:kern w:val="2"/>
          <w:sz w:val="24"/>
          <w:szCs w:val="22"/>
          <w:lang w:val="en-US" w:bidi="ar-SA" w:eastAsia="zh-CN"/>
        </w:rPr>
        <w:t>节点(1台)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1.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国产品牌，非OEM，拥有自主知识产权,具有软硬件自主研发能力,保障后续产品的连续性,提供存储软件著作权登记证书；</w:t>
      </w:r>
    </w:p>
    <w:p>
      <w:pPr>
        <w:pStyle w:val="style0"/>
        <w:widowControl/>
        <w:spacing w:lineRule="auto" w:line="36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2. SAN和NAS统一存储，配置NAS协议（包括NFS和CI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FS）、IP SAN和FC SAN协议,不需额外配置NAS网关，存储操作界面同时支持快存储和文件系统服务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3.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实配2个控制器，双控之间（含SAN和NAS）采用IB或PCI-E互联,多控架构，最大可扩展为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8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个控制器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4.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控制器处理器总核数≥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32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核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5.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双控制器缓存容量配置≥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32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GB，（不含任何性能加速模块、FlashCache、PAM卡，SSD Cache等）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6.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存储配置断电保护功能， 在出现电源故障时，可提供充足的电源，将高速缓存数据转储至非易失性内部存储设备上（非通用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节点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架构）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7.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双控配置：配置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2*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6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1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Gbps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以太网接口。</w:t>
      </w:r>
    </w:p>
    <w:p>
      <w:pPr>
        <w:pStyle w:val="style0"/>
        <w:widowControl/>
        <w:spacing w:lineRule="auto" w:line="36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8.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支持8/16/32 Gbps FC、1/10/25Gbps Ethernet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2"/>
          <w:sz w:val="24"/>
          <w:szCs w:val="22"/>
          <w:lang w:val="en-US" w:bidi="ar-SA" w:eastAsia="zh-CN"/>
        </w:rPr>
        <w:t>9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.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 xml:space="preserve"> 配置企业级硬盘（SAS接口，非SATA接口），单盘容量≦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4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TB 7.2K NL SAS磁盘, 裸容量不小于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32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TB</w:t>
      </w:r>
    </w:p>
    <w:p>
      <w:pPr>
        <w:pStyle w:val="style0"/>
        <w:widowControl/>
        <w:spacing w:lineRule="auto" w:line="360"/>
        <w:jc w:val="both"/>
        <w:textAlignment w:val="baseline"/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10. 最大支持磁盘插槽个数≥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50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0</w:t>
      </w:r>
    </w:p>
    <w:p>
      <w:pPr>
        <w:pStyle w:val="style0"/>
        <w:widowControl/>
        <w:spacing w:lineRule="auto" w:line="360"/>
        <w:jc w:val="both"/>
        <w:textAlignment w:val="baseline"/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2"/>
          <w:sz w:val="24"/>
          <w:szCs w:val="22"/>
          <w:lang w:val="en-US" w:bidi="ar-SA" w:eastAsia="zh-CN"/>
        </w:rPr>
        <w:t>11.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 xml:space="preserve"> 双控配置≥192Gbps SAS3.0 磁盘通道带宽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 xml:space="preserve"> 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hAnsi="宋体"/>
          <w:kern w:val="2"/>
          <w:sz w:val="24"/>
          <w:szCs w:val="22"/>
          <w:lang w:val="en-US" w:bidi="ar-SA" w:eastAsia="zh-CN"/>
        </w:rPr>
        <w:t>12.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支持RAID 1、RAID 10、RAID50、RAID 5、RAID6等可选配置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13.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磁盘、电源、IO模块都可以不停机热插拔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14.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冗余电源、风扇、控制器、缓存断电保护功能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15.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支持Cache缓存分区功能，保障关键业务资源使用；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16.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支持QoS功能，提供图像化管理界面, 能够按照IOPS、吞吐量、响应时间等维度进行策略调整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17.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支持SSD Cache功能，使用SSD Cache对热点数据提升响应速度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18.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 xml:space="preserve"> </w:t>
      </w:r>
      <w:r>
        <w:rPr>
          <w:rStyle w:val="style4100"/>
          <w:rFonts w:ascii="宋体" w:cs="宋体" w:hAnsi="宋体"/>
          <w:bCs/>
          <w:kern w:val="0"/>
          <w:sz w:val="24"/>
          <w:szCs w:val="21"/>
          <w:lang w:val="en-US" w:bidi="ar-SA" w:eastAsia="zh-CN"/>
        </w:rPr>
        <w:t>支持块重删功能（非零界面删除），提升空间的有效利用率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19. 支持数据快照功能，恢复某个时间点的快照，其他时间点快照不丢失；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20. 支持SAN和NAS双活许可，提供SAN和NAS双活的统一存储双活架构，并能进行统一管理，提供官网链接截图</w:t>
      </w:r>
    </w:p>
    <w:p>
      <w:pPr>
        <w:pStyle w:val="style0"/>
        <w:spacing w:lineRule="auto" w:line="360"/>
        <w:jc w:val="left"/>
        <w:textAlignment w:val="baseline"/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2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1</w:t>
      </w:r>
      <w:r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  <w:t>.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 xml:space="preserve"> 提供中国信息安全认证中心《信息安全应急处理服务资质（一级）》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和《信息系统安全集成服务资质（一级）》认证证书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2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2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投标人需要有投标品牌厂商（存储）相关服务认证。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2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3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投标人需要配合用户完成本次存储网络共享相关配置，并对用户进行培训，保证用户拥有对设备和业务维护的能力。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rFonts w:ascii="宋体" w:cs="宋体" w:hAnsi="宋体"/>
          <w:bCs/>
          <w:color w:val="000000"/>
          <w:kern w:val="0"/>
          <w:sz w:val="24"/>
          <w:szCs w:val="21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2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4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.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 xml:space="preserve"> </w:t>
      </w:r>
      <w:r>
        <w:rPr>
          <w:rStyle w:val="style4100"/>
          <w:rFonts w:ascii="宋体" w:hAnsi="宋体"/>
          <w:color w:val="000000"/>
          <w:kern w:val="0"/>
          <w:sz w:val="24"/>
          <w:szCs w:val="21"/>
          <w:lang w:val="en-US" w:bidi="ar-SA" w:eastAsia="zh-CN"/>
        </w:rPr>
        <w:t>投标设备必须提供原厂三年硬件质保，投标人必须提供三年内免费上门服务（7*24*4）。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三、一体化机柜（1套，含一个机柜（箱）、一台机架式UPS、一台机架式精密空调、相关线缆配件）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1、含机箱，冷热通道，前门带玻璃密闭门，后门密闭门，盲板，2条PDU，应急通风系统，烟感，绑线板，辅材。机柜整体尺寸：600*1200*2000mm（宽*深*高）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2"/>
          <w:sz w:val="24"/>
          <w:szCs w:val="22"/>
          <w:lang w:val="en-US" w:bidi="ar-SA" w:eastAsia="zh-CN"/>
        </w:rPr>
        <w:t>2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、一体化组装式结构设计，设备安装的U立柱可前后调整，可方便的安装其他配电模块，结构稳固，机柜最大静载重量达到2310kg，提供国家认可的第三方权威机构检测报告复印件；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2"/>
          <w:sz w:val="24"/>
          <w:szCs w:val="22"/>
          <w:lang w:val="en-US" w:bidi="ar-SA" w:eastAsia="zh-CN"/>
        </w:rPr>
        <w:t>3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、总输入63A/1P*1，UPS输入：40A/1P*1，UPS输出：32A/1P*1，维修旁路：32A/2P*1，防雷开关：32A/1P*1，空调：20</w:t>
      </w:r>
      <w:r>
        <w:rPr>
          <w:rStyle w:val="style4100"/>
          <w:kern w:val="2"/>
          <w:sz w:val="24"/>
          <w:szCs w:val="22"/>
          <w:lang w:val="en-US" w:bidi="ar-SA" w:eastAsia="zh-CN"/>
        </w:rPr>
        <w:t>A/1P*2（一用一备），UPS分配：16A*1P*6，16A/1P*2（应急通风和监控各1路），含C级防雷，智能电表，配件空气开关施耐德品牌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rFonts w:ascii="宋体" w:hAnsi="宋体"/>
          <w:kern w:val="2"/>
          <w:sz w:val="24"/>
          <w:szCs w:val="22"/>
          <w:lang w:val="en-US" w:bidi="ar-SA" w:eastAsia="zh-CN"/>
        </w:rPr>
        <w:t>4</w:t>
      </w:r>
      <w:r>
        <w:rPr>
          <w:rStyle w:val="style4100"/>
          <w:kern w:val="2"/>
          <w:sz w:val="24"/>
          <w:szCs w:val="22"/>
          <w:lang w:val="en-US" w:bidi="ar-SA" w:eastAsia="zh-CN"/>
        </w:rPr>
        <w:t>、3.8KW精密空调，机架式安装，整体机，含室外机；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2"/>
          <w:sz w:val="24"/>
          <w:szCs w:val="22"/>
          <w:lang w:val="en-US" w:bidi="ar-SA" w:eastAsia="zh-CN"/>
        </w:rPr>
        <w:t>5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、±120VDC，内置20节12V/9AH（延时30分钟）；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2"/>
          <w:sz w:val="24"/>
          <w:szCs w:val="22"/>
          <w:lang w:val="en-US" w:bidi="ar-SA" w:eastAsia="zh-CN"/>
        </w:rPr>
        <w:t>6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、所投产品（UPS及蓄电池）制造商在国内市场（2016-2018）连续三年品牌占有率前3名，提供第三方权威认证机构证明材料；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2"/>
          <w:sz w:val="24"/>
          <w:szCs w:val="22"/>
          <w:lang w:val="en-US" w:bidi="ar-SA" w:eastAsia="zh-CN"/>
        </w:rPr>
        <w:t>7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、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UPS、蓄电池、机柜、精密空调、配电单元需同一品牌，提供同一法人的蓄电池的生产许可证及排污许可证复印件；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color w:val="000000"/>
          <w:kern w:val="2"/>
          <w:sz w:val="24"/>
          <w:szCs w:val="22"/>
          <w:lang w:val="en-US" w:bidi="ar-SA" w:eastAsia="zh-CN"/>
        </w:rPr>
      </w:pPr>
      <w:r>
        <w:rPr>
          <w:rStyle w:val="style4100"/>
          <w:rFonts w:ascii="宋体" w:hAnsi="宋体"/>
          <w:color w:val="000000"/>
          <w:kern w:val="2"/>
          <w:sz w:val="24"/>
          <w:szCs w:val="22"/>
          <w:lang w:val="en-US" w:bidi="ar-SA" w:eastAsia="zh-CN"/>
        </w:rPr>
        <w:t>8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、</w:t>
      </w:r>
      <w:r>
        <w:rPr>
          <w:rStyle w:val="style4100"/>
          <w:color w:val="000000"/>
          <w:kern w:val="2"/>
          <w:sz w:val="24"/>
          <w:szCs w:val="22"/>
          <w:lang w:val="en-US" w:bidi="ar-SA" w:eastAsia="zh-CN"/>
        </w:rPr>
        <w:t>投标人所投产品（微模块机柜设备）的设备制造商具备一定的施工安装能力，提供安全生产许可证，同时提供承装（修、试）电力设施许可证并获得建筑业企业资质证书；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rFonts w:ascii="宋体" w:hAnsi="宋体"/>
          <w:kern w:val="2"/>
          <w:sz w:val="24"/>
          <w:szCs w:val="22"/>
          <w:lang w:val="en-US" w:bidi="ar-SA" w:eastAsia="zh-CN"/>
        </w:rPr>
        <w:t>9</w:t>
      </w:r>
      <w:r>
        <w:rPr>
          <w:rStyle w:val="style4100"/>
          <w:kern w:val="2"/>
          <w:sz w:val="24"/>
          <w:szCs w:val="22"/>
          <w:lang w:val="en-US" w:bidi="ar-SA" w:eastAsia="zh-CN"/>
        </w:rPr>
        <w:t>、</w:t>
      </w:r>
      <w:r>
        <w:rPr>
          <w:rStyle w:val="style4100"/>
          <w:kern w:val="2"/>
          <w:sz w:val="24"/>
          <w:szCs w:val="22"/>
          <w:lang w:val="en-US" w:bidi="ar-SA" w:eastAsia="zh-CN"/>
        </w:rPr>
        <w:t>要求</w:t>
      </w:r>
      <w:r>
        <w:rPr>
          <w:rStyle w:val="style4100"/>
          <w:kern w:val="2"/>
          <w:sz w:val="24"/>
          <w:szCs w:val="22"/>
          <w:lang w:val="en-US" w:bidi="ar-SA" w:eastAsia="zh-CN"/>
        </w:rPr>
        <w:t>原厂商三年免费质保服务；</w:t>
      </w:r>
      <w:r>
        <w:rPr>
          <w:rStyle w:val="style4100"/>
          <w:kern w:val="2"/>
          <w:sz w:val="24"/>
          <w:szCs w:val="22"/>
          <w:lang w:val="en-US" w:bidi="ar-SA" w:eastAsia="zh-CN"/>
        </w:rPr>
        <w:t xml:space="preserve"> </w:t>
      </w:r>
    </w:p>
    <w:p>
      <w:pPr>
        <w:pStyle w:val="style0"/>
        <w:tabs>
          <w:tab w:val="left" w:leader="none" w:pos="1013"/>
        </w:tabs>
        <w:spacing w:lineRule="exact" w:line="440"/>
        <w:jc w:val="both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</w:p>
    <w:p>
      <w:pPr>
        <w:pStyle w:val="style0"/>
        <w:tabs>
          <w:tab w:val="left" w:leader="none" w:pos="1013"/>
        </w:tabs>
        <w:spacing w:lineRule="exact" w:line="440"/>
        <w:jc w:val="left"/>
        <w:textAlignment w:val="baseline"/>
        <w:rPr>
          <w:rStyle w:val="style4100"/>
          <w:kern w:val="2"/>
          <w:sz w:val="24"/>
          <w:szCs w:val="22"/>
          <w:lang w:val="en-US" w:bidi="ar-SA" w:eastAsia="zh-CN"/>
        </w:rPr>
      </w:pPr>
      <w:r>
        <w:rPr>
          <w:rStyle w:val="style4100"/>
          <w:kern w:val="2"/>
          <w:sz w:val="24"/>
          <w:szCs w:val="22"/>
          <w:lang w:val="en-US" w:bidi="ar-SA" w:eastAsia="zh-CN"/>
        </w:rPr>
        <w:t>以上所有</w:t>
      </w:r>
      <w:r>
        <w:rPr>
          <w:rStyle w:val="style4100"/>
          <w:kern w:val="2"/>
          <w:sz w:val="24"/>
          <w:szCs w:val="22"/>
          <w:lang w:val="en-US" w:bidi="ar-SA" w:eastAsia="zh-CN"/>
        </w:rPr>
        <w:t>技术要求</w:t>
      </w:r>
      <w:r>
        <w:rPr>
          <w:rStyle w:val="style4100"/>
          <w:kern w:val="2"/>
          <w:sz w:val="24"/>
          <w:szCs w:val="22"/>
          <w:lang w:val="en-US" w:bidi="ar-SA" w:eastAsia="zh-CN"/>
        </w:rPr>
        <w:t>及质保要求</w:t>
      </w:r>
      <w:r>
        <w:rPr>
          <w:rStyle w:val="style4100"/>
          <w:kern w:val="2"/>
          <w:sz w:val="24"/>
          <w:szCs w:val="22"/>
          <w:lang w:val="en-US" w:bidi="ar-SA" w:eastAsia="zh-CN"/>
        </w:rPr>
        <w:t>签订合同前需要提供官方证明（原厂彩页、原厂技术白皮书、原厂盖章技术响应表或官网资料及资料链接）备查</w:t>
      </w:r>
      <w:r>
        <w:rPr>
          <w:rStyle w:val="style4100"/>
          <w:kern w:val="2"/>
          <w:sz w:val="24"/>
          <w:szCs w:val="22"/>
          <w:lang w:val="en-US" w:bidi="ar-SA" w:eastAsia="zh-CN"/>
        </w:rPr>
        <w:t>。</w:t>
      </w:r>
    </w:p>
    <w:sectPr>
      <w:type w:val="nextPage"/>
      <w:pgSz w:w="11906" w:h="16838" w:orient="portrait"/>
      <w:pgMar w:top="1440" w:right="1800" w:bottom="1440" w:left="1800" w:header="851" w:footer="992" w:gutter="0"/>
      <w:paperSrc w:first="0" w:oth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Arial Unicode MS"/>
    <w:panose1 w:val="02010600030001010101"/>
    <w:charset w:val="86"/>
    <w:family w:val="auto"/>
    <w:pitch w:val="variable"/>
    <w:sig w:usb0="00000000" w:usb1="38CF7CFA" w:usb2="00000016" w:usb3="00000000" w:csb0="0004000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FF32BCE"/>
    <w:lvl w:ilvl="0">
      <w:start w:val="1"/>
      <w:numFmt w:val="bullet"/>
      <w:lvlText w:val=""/>
      <w:lvlJc w:val="left"/>
      <w:pPr>
        <w:widowControl/>
        <w:spacing w:lineRule="auto" w:line="240"/>
        <w:ind w:left="420" w:hanging="420"/>
        <w:textAlignment w:val="baseline"/>
      </w:pPr>
      <w:rPr>
        <w:rStyle w:val="style4100"/>
        <w:rFonts w:ascii="Wingdings" w:hAnsi="Wingdings"/>
      </w:rPr>
    </w:lvl>
    <w:lvl w:ilvl="1">
      <w:start w:val="1"/>
      <w:numFmt w:val="bullet"/>
      <w:lvlText w:val=""/>
      <w:lvlJc w:val="left"/>
      <w:pPr>
        <w:widowControl/>
        <w:spacing w:lineRule="auto" w:line="240"/>
        <w:ind w:left="840" w:hanging="420"/>
        <w:textAlignment w:val="baseline"/>
      </w:pPr>
      <w:rPr>
        <w:rStyle w:val="style4100"/>
        <w:rFonts w:ascii="Wingdings" w:hAnsi="Wingdings"/>
      </w:rPr>
    </w:lvl>
    <w:lvl w:ilvl="2">
      <w:start w:val="1"/>
      <w:numFmt w:val="bullet"/>
      <w:lvlText w:val=""/>
      <w:lvlJc w:val="left"/>
      <w:pPr>
        <w:widowControl/>
        <w:spacing w:lineRule="auto" w:line="240"/>
        <w:ind w:left="1260" w:hanging="420"/>
        <w:textAlignment w:val="baseline"/>
      </w:pPr>
      <w:rPr>
        <w:rStyle w:val="style4100"/>
        <w:rFonts w:ascii="Wingdings" w:hAnsi="Wingdings"/>
      </w:rPr>
    </w:lvl>
    <w:lvl w:ilvl="3">
      <w:start w:val="1"/>
      <w:numFmt w:val="bullet"/>
      <w:lvlText w:val=""/>
      <w:lvlJc w:val="left"/>
      <w:pPr>
        <w:widowControl/>
        <w:spacing w:lineRule="auto" w:line="240"/>
        <w:ind w:left="1680" w:hanging="420"/>
        <w:textAlignment w:val="baseline"/>
      </w:pPr>
      <w:rPr>
        <w:rStyle w:val="style4100"/>
        <w:rFonts w:ascii="Wingdings" w:hAnsi="Wingdings"/>
      </w:rPr>
    </w:lvl>
    <w:lvl w:ilvl="4">
      <w:start w:val="1"/>
      <w:numFmt w:val="bullet"/>
      <w:lvlText w:val=""/>
      <w:lvlJc w:val="left"/>
      <w:pPr>
        <w:widowControl/>
        <w:spacing w:lineRule="auto" w:line="240"/>
        <w:ind w:left="2100" w:hanging="420"/>
        <w:textAlignment w:val="baseline"/>
      </w:pPr>
      <w:rPr>
        <w:rStyle w:val="style4100"/>
        <w:rFonts w:ascii="Wingdings" w:hAnsi="Wingdings"/>
      </w:rPr>
    </w:lvl>
    <w:lvl w:ilvl="5">
      <w:start w:val="1"/>
      <w:numFmt w:val="bullet"/>
      <w:lvlText w:val=""/>
      <w:lvlJc w:val="left"/>
      <w:pPr>
        <w:widowControl/>
        <w:spacing w:lineRule="auto" w:line="240"/>
        <w:ind w:left="2520" w:hanging="420"/>
        <w:textAlignment w:val="baseline"/>
      </w:pPr>
      <w:rPr>
        <w:rStyle w:val="style4100"/>
        <w:rFonts w:ascii="Wingdings" w:hAnsi="Wingdings"/>
      </w:rPr>
    </w:lvl>
    <w:lvl w:ilvl="6">
      <w:start w:val="1"/>
      <w:numFmt w:val="bullet"/>
      <w:lvlText w:val=""/>
      <w:lvlJc w:val="left"/>
      <w:pPr>
        <w:widowControl/>
        <w:spacing w:lineRule="auto" w:line="240"/>
        <w:ind w:left="2940" w:hanging="420"/>
        <w:textAlignment w:val="baseline"/>
      </w:pPr>
      <w:rPr>
        <w:rStyle w:val="style4100"/>
        <w:rFonts w:ascii="Wingdings" w:hAnsi="Wingdings"/>
      </w:rPr>
    </w:lvl>
    <w:lvl w:ilvl="7">
      <w:start w:val="1"/>
      <w:numFmt w:val="bullet"/>
      <w:lvlText w:val=""/>
      <w:lvlJc w:val="left"/>
      <w:pPr>
        <w:widowControl/>
        <w:spacing w:lineRule="auto" w:line="240"/>
        <w:ind w:left="3360" w:hanging="420"/>
        <w:textAlignment w:val="baseline"/>
      </w:pPr>
      <w:rPr>
        <w:rStyle w:val="style4100"/>
        <w:rFonts w:ascii="Wingdings" w:hAnsi="Wingdings"/>
      </w:rPr>
    </w:lvl>
    <w:lvl w:ilvl="8">
      <w:start w:val="1"/>
      <w:numFmt w:val="bullet"/>
      <w:lvlText w:val=""/>
      <w:lvlJc w:val="left"/>
      <w:pPr>
        <w:widowControl/>
        <w:spacing w:lineRule="auto" w:line="240"/>
        <w:ind w:left="3780" w:hanging="420"/>
        <w:textAlignment w:val="baseline"/>
      </w:pPr>
      <w:rPr>
        <w:rStyle w:val="style4100"/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0"/>
  <w:displayVerticalDrawingGridEvery w:val="2"/>
  <w:doNotUseMarginsForDrawingGridOrigin/>
  <w:noPunctuationKerning/>
  <w:compat>
    <w:balanceSingleByteDoubleByteWidth/>
    <w:doNotLeaveBackslashAlon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/>
        <w:lang w:val="en-US"/>
      </w:rPr>
    </w:rPrDefault>
    <w:pPrDefault>
      <w:pPr/>
    </w:pPrDefault>
  </w:docDefaults>
  <w:style w:type="paragraph" w:default="1" w:styleId="style0">
    <w:name w:val="Normal"/>
    <w:next w:val="style0"/>
    <w:pPr>
      <w:spacing w:lineRule="auto" w:line="360"/>
      <w:jc w:val="both"/>
      <w:textAlignment w:val="baseline"/>
    </w:pPr>
    <w:rPr>
      <w:kern w:val="2"/>
      <w:sz w:val="24"/>
      <w:szCs w:val="22"/>
      <w:lang w:val="en-US" w:bidi="ar-SA" w:eastAsia="zh-CN"/>
    </w:rPr>
  </w:style>
  <w:style w:type="paragraph" w:customStyle="1" w:styleId="style4097">
    <w:name w:val="Heading1"/>
    <w:basedOn w:val="style0"/>
    <w:next w:val="style0"/>
    <w:link w:val="style4103"/>
    <w:pPr>
      <w:keepNext/>
      <w:keepLines/>
      <w:spacing w:before="340" w:after="330" w:lineRule="auto" w:line="360"/>
      <w:jc w:val="left"/>
      <w:textAlignment w:val="baseline"/>
    </w:pPr>
    <w:rPr>
      <w:rFonts w:cs="Times New Roman" w:eastAsia="宋体"/>
      <w:bCs/>
      <w:kern w:val="44"/>
      <w:sz w:val="32"/>
      <w:szCs w:val="44"/>
      <w:lang w:val="en-US" w:bidi="ar-SA" w:eastAsia="zh-CN"/>
    </w:rPr>
  </w:style>
  <w:style w:type="paragraph" w:customStyle="1" w:styleId="style4098">
    <w:name w:val="Heading2"/>
    <w:basedOn w:val="style0"/>
    <w:next w:val="style0"/>
    <w:link w:val="style4103"/>
    <w:pPr>
      <w:keepNext/>
      <w:keepLines/>
      <w:spacing w:before="260" w:after="260" w:lineRule="auto" w:line="240"/>
      <w:jc w:val="left"/>
      <w:textAlignment w:val="baseline"/>
    </w:pPr>
    <w:rPr>
      <w:rFonts w:ascii="Cambria" w:cs="Times New Roman" w:eastAsia="宋体" w:hAnsi="Cambria"/>
      <w:bCs/>
      <w:kern w:val="2"/>
      <w:sz w:val="30"/>
      <w:szCs w:val="32"/>
      <w:lang w:val="en-US" w:bidi="ar-SA" w:eastAsia="zh-CN"/>
    </w:rPr>
  </w:style>
  <w:style w:type="paragraph" w:customStyle="1" w:styleId="style4099">
    <w:name w:val="Heading3"/>
    <w:basedOn w:val="style0"/>
    <w:next w:val="style0"/>
    <w:link w:val="style4103"/>
    <w:pPr>
      <w:keepNext/>
      <w:keepLines/>
      <w:spacing w:before="260" w:after="260" w:lineRule="auto" w:line="416"/>
      <w:jc w:val="both"/>
      <w:textAlignment w:val="baseline"/>
    </w:pPr>
    <w:rPr>
      <w:rFonts w:ascii="Calibri" w:cs="Times New Roman" w:eastAsia="宋体" w:hAnsi="Calibri"/>
      <w:bCs/>
      <w:kern w:val="2"/>
      <w:sz w:val="30"/>
      <w:szCs w:val="32"/>
      <w:lang w:val="en-US" w:bidi="ar-SA" w:eastAsia="zh-CN"/>
    </w:rPr>
  </w:style>
  <w:style w:type="character" w:customStyle="1" w:styleId="style4100">
    <w:name w:val="NormalCharacter"/>
    <w:next w:val="style4100"/>
  </w:style>
  <w:style w:type="table" w:customStyle="1" w:styleId="style4101">
    <w:name w:val="TableNormal"/>
    <w:next w:val="style4101"/>
    <w:pPr/>
    <w:tcPr>
      <w:tcBorders/>
    </w:tcPr>
  </w:style>
  <w:style w:type="numbering" w:customStyle="1" w:styleId="style4102">
    <w:name w:val="NormalList"/>
    <w:next w:val="style4102"/>
    <w:pPr/>
  </w:style>
  <w:style w:type="character" w:customStyle="1" w:styleId="style4103">
    <w:name w:val="UserStyle_0"/>
    <w:next w:val="style4103"/>
    <w:link w:val="style4097"/>
    <w:rPr>
      <w:rFonts w:ascii="Calibri" w:cs="Times New Roman" w:eastAsia="宋体" w:hAnsi="Calibri"/>
      <w:bCs/>
      <w:kern w:val="44"/>
      <w:sz w:val="32"/>
      <w:szCs w:val="44"/>
    </w:rPr>
  </w:style>
  <w:style w:type="character" w:customStyle="1" w:styleId="style4104">
    <w:name w:val="UserStyle_1"/>
    <w:next w:val="style4104"/>
    <w:link w:val="style4098"/>
    <w:rPr>
      <w:rFonts w:ascii="Cambria" w:cs="Times New Roman" w:eastAsia="宋体" w:hAnsi="Cambria"/>
      <w:bCs/>
      <w:sz w:val="30"/>
      <w:szCs w:val="32"/>
    </w:rPr>
  </w:style>
  <w:style w:type="character" w:customStyle="1" w:styleId="style4105">
    <w:name w:val="UserStyle_2"/>
    <w:next w:val="style4105"/>
    <w:link w:val="style4099"/>
    <w:rPr>
      <w:rFonts w:cs="Times New Roman" w:eastAsia="宋体"/>
      <w:bCs/>
      <w:kern w:val="2"/>
      <w:sz w:val="30"/>
      <w:szCs w:val="32"/>
    </w:rPr>
  </w:style>
  <w:style w:type="paragraph" w:customStyle="1" w:styleId="style4106">
    <w:name w:val="179"/>
    <w:basedOn w:val="style0"/>
    <w:next w:val="style4106"/>
    <w:link w:val="style4107"/>
    <w:pPr>
      <w:spacing w:lineRule="auto" w:line="240"/>
      <w:ind w:firstLine="420" w:firstLineChars="200"/>
      <w:jc w:val="both"/>
      <w:textAlignment w:val="baseline"/>
    </w:pPr>
    <w:rPr>
      <w:rFonts w:eastAsia="宋体"/>
      <w:kern w:val="0"/>
      <w:sz w:val="20"/>
      <w:szCs w:val="20"/>
      <w:lang w:bidi="ar-SA"/>
    </w:rPr>
  </w:style>
  <w:style w:type="character" w:customStyle="1" w:styleId="style4107">
    <w:name w:val="UserStyle_3"/>
    <w:next w:val="style4107"/>
    <w:link w:val="style4106"/>
    <w:rPr>
      <w:rFonts w:ascii="Calibri" w:eastAsia="宋体" w:hAnsi="Calibri"/>
      <w:szCs w:val="20"/>
    </w:rPr>
  </w:style>
  <w:style w:type="paragraph" w:customStyle="1" w:styleId="style4108">
    <w:name w:val="UserStyle_4"/>
    <w:basedOn w:val="style0"/>
    <w:next w:val="style4106"/>
    <w:link w:val="style4109"/>
    <w:pPr>
      <w:spacing w:lineRule="auto" w:line="240"/>
      <w:ind w:firstLine="420" w:firstLineChars="200"/>
      <w:jc w:val="both"/>
      <w:textAlignment w:val="baseline"/>
    </w:pPr>
    <w:rPr>
      <w:rFonts w:ascii="Times New Roman" w:eastAsia="宋体" w:hAnsi="Times New Roman"/>
      <w:kern w:val="0"/>
      <w:sz w:val="20"/>
      <w:szCs w:val="20"/>
      <w:lang w:bidi="ar-SA"/>
    </w:rPr>
  </w:style>
  <w:style w:type="character" w:customStyle="1" w:styleId="style4109">
    <w:name w:val="UserStyle_5"/>
    <w:next w:val="style4109"/>
    <w:link w:val="style4108"/>
    <w:rPr>
      <w:rFonts w:ascii="Times New Roman" w:eastAsia="宋体" w:hAnsi="Times New Roman"/>
      <w:szCs w:val="20"/>
    </w:rPr>
  </w:style>
  <w:style w:type="paragraph" w:styleId="style62">
    <w:name w:val="Title"/>
    <w:basedOn w:val="style0"/>
    <w:next w:val="style0"/>
    <w:link w:val="style4110"/>
    <w:pPr>
      <w:spacing w:before="240" w:after="60" w:lineRule="auto" w:line="360"/>
      <w:jc w:val="center"/>
      <w:textAlignment w:val="baseline"/>
    </w:pPr>
    <w:rPr>
      <w:rFonts w:ascii="等线 Light" w:cs="Times New Roman" w:hAnsi="等线 Light"/>
      <w:b/>
      <w:bCs/>
      <w:kern w:val="2"/>
      <w:sz w:val="32"/>
      <w:szCs w:val="32"/>
      <w:lang w:val="en-US" w:bidi="ar-SA" w:eastAsia="zh-CN"/>
    </w:rPr>
  </w:style>
  <w:style w:type="character" w:customStyle="1" w:styleId="style4110">
    <w:name w:val="UserStyle_6"/>
    <w:next w:val="style4110"/>
    <w:link w:val="style62"/>
    <w:rPr>
      <w:rFonts w:ascii="等线 Light" w:cs="Times New Roman" w:hAnsi="等线 Light"/>
      <w:b/>
      <w:bCs/>
      <w:kern w:val="2"/>
      <w:sz w:val="32"/>
      <w:szCs w:val="32"/>
    </w:rPr>
  </w:style>
  <w:style w:type="paragraph" w:styleId="style74">
    <w:name w:val="Subtitle"/>
    <w:basedOn w:val="style0"/>
    <w:next w:val="style0"/>
    <w:link w:val="style4111"/>
    <w:pPr>
      <w:spacing w:before="240" w:after="60" w:lineRule="auto" w:line="312"/>
      <w:jc w:val="center"/>
      <w:textAlignment w:val="baseline"/>
    </w:pPr>
    <w:rPr>
      <w:rFonts w:ascii="等线 Light" w:cs="Times New Roman" w:hAnsi="等线 Light"/>
      <w:b/>
      <w:bCs/>
      <w:kern w:val="28"/>
      <w:sz w:val="32"/>
      <w:szCs w:val="32"/>
      <w:lang w:val="en-US" w:bidi="ar-SA" w:eastAsia="zh-CN"/>
    </w:rPr>
  </w:style>
  <w:style w:type="character" w:customStyle="1" w:styleId="style4111">
    <w:name w:val="UserStyle_7"/>
    <w:next w:val="style4111"/>
    <w:link w:val="style74"/>
    <w:rPr>
      <w:rFonts w:ascii="等线 Light" w:cs="Times New Roman" w:hAnsi="等线 Light"/>
      <w:b/>
      <w:bCs/>
      <w:kern w:val="28"/>
      <w:sz w:val="32"/>
      <w:szCs w:val="32"/>
    </w:rPr>
  </w:style>
  <w:style w:type="paragraph" w:customStyle="1" w:styleId="style4112">
    <w:name w:val="Header"/>
    <w:basedOn w:val="style0"/>
    <w:next w:val="style4112"/>
    <w:link w:val="style4113"/>
    <w:pPr>
      <w:pBdr>
        <w:bottom w:val="single" w:sz="6" w:space="1" w:color="000000"/>
      </w:pBdr>
      <w:tabs>
        <w:tab w:val="center" w:leader="none" w:pos="4153"/>
        <w:tab w:val="right" w:leader="none" w:pos="8306"/>
      </w:tabs>
      <w:snapToGrid w:val="false"/>
      <w:spacing w:lineRule="auto" w:line="240"/>
      <w:jc w:val="center"/>
      <w:textAlignment w:val="baseline"/>
    </w:pPr>
    <w:rPr>
      <w:kern w:val="2"/>
      <w:sz w:val="18"/>
      <w:szCs w:val="18"/>
      <w:lang w:val="en-US" w:bidi="ar-SA" w:eastAsia="zh-CN"/>
    </w:rPr>
  </w:style>
  <w:style w:type="character" w:customStyle="1" w:styleId="style4113">
    <w:name w:val="UserStyle_8"/>
    <w:next w:val="style4113"/>
    <w:link w:val="style4112"/>
    <w:rPr>
      <w:kern w:val="2"/>
      <w:sz w:val="18"/>
      <w:szCs w:val="18"/>
    </w:rPr>
  </w:style>
  <w:style w:type="paragraph" w:customStyle="1" w:styleId="style4114">
    <w:name w:val="Footer"/>
    <w:basedOn w:val="style0"/>
    <w:next w:val="style4114"/>
    <w:link w:val="style4115"/>
    <w:pPr>
      <w:tabs>
        <w:tab w:val="center" w:leader="none" w:pos="4153"/>
        <w:tab w:val="right" w:leader="none" w:pos="8306"/>
      </w:tabs>
      <w:snapToGrid w:val="false"/>
      <w:spacing w:lineRule="auto" w:line="240"/>
      <w:jc w:val="left"/>
      <w:textAlignment w:val="baseline"/>
    </w:pPr>
    <w:rPr>
      <w:kern w:val="2"/>
      <w:sz w:val="18"/>
      <w:szCs w:val="18"/>
      <w:lang w:val="en-US" w:bidi="ar-SA" w:eastAsia="zh-CN"/>
    </w:rPr>
  </w:style>
  <w:style w:type="character" w:customStyle="1" w:styleId="style4115">
    <w:name w:val="UserStyle_9"/>
    <w:next w:val="style4115"/>
    <w:link w:val="style4114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2322</Words>
  <Characters>2886</Characters>
  <Application>WPS Office</Application>
  <Paragraphs>79</Paragraphs>
  <CharactersWithSpaces>2984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2019-10-18T01:37:38Z</dcterms:created>
  <dc:creator>WPS Office</dc:creator>
  <lastModifiedBy>vivo X21UD A</lastModifiedBy>
  <dcterms:modified xsi:type="dcterms:W3CDTF">2019-10-18T01:37:38Z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