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ind w:firstLine="723" w:firstLineChars="200"/>
        <w:jc w:val="center"/>
        <w:rPr>
          <w:rFonts w:ascii="宋体" w:hAnsi="宋体"/>
          <w:b/>
          <w:color w:val="000000"/>
          <w:sz w:val="36"/>
          <w:szCs w:val="36"/>
        </w:rPr>
      </w:pPr>
      <w:r>
        <w:rPr>
          <w:rFonts w:hint="eastAsia"/>
          <w:b/>
          <w:sz w:val="36"/>
          <w:szCs w:val="36"/>
        </w:rPr>
        <w:t>电子政务外网接入SSL</w:t>
      </w:r>
      <w:r>
        <w:rPr>
          <w:b/>
          <w:sz w:val="36"/>
          <w:szCs w:val="36"/>
        </w:rPr>
        <w:t xml:space="preserve"> </w:t>
      </w:r>
      <w:r>
        <w:rPr>
          <w:rFonts w:hint="eastAsia"/>
          <w:b/>
          <w:sz w:val="36"/>
          <w:szCs w:val="36"/>
        </w:rPr>
        <w:t>VPN</w:t>
      </w:r>
      <w:r>
        <w:rPr>
          <w:b/>
          <w:sz w:val="36"/>
          <w:szCs w:val="36"/>
        </w:rPr>
        <w:t xml:space="preserve"> </w:t>
      </w:r>
      <w:r>
        <w:rPr>
          <w:rFonts w:hint="eastAsia"/>
          <w:b/>
          <w:sz w:val="36"/>
          <w:szCs w:val="36"/>
        </w:rPr>
        <w:t>技术</w:t>
      </w:r>
      <w:r>
        <w:rPr>
          <w:rFonts w:hint="eastAsia"/>
          <w:b/>
          <w:sz w:val="36"/>
          <w:szCs w:val="36"/>
          <w:lang w:eastAsia="zh-CN"/>
        </w:rPr>
        <w:t>要求</w:t>
      </w:r>
    </w:p>
    <w:p>
      <w:pPr>
        <w:widowControl/>
        <w:snapToGrid w:val="0"/>
        <w:spacing w:line="440" w:lineRule="exact"/>
        <w:ind w:firstLine="480" w:firstLineChars="200"/>
        <w:jc w:val="left"/>
        <w:rPr>
          <w:rFonts w:ascii="宋体" w:hAnsi="宋体"/>
          <w:color w:val="000000"/>
          <w:sz w:val="24"/>
          <w:szCs w:val="24"/>
        </w:rPr>
      </w:pPr>
      <w:r>
        <w:rPr>
          <w:rFonts w:hint="eastAsia" w:ascii="宋体" w:hAnsi="宋体"/>
          <w:color w:val="000000"/>
          <w:sz w:val="24"/>
          <w:szCs w:val="24"/>
        </w:rPr>
        <w:t>（一）采购清单</w:t>
      </w:r>
    </w:p>
    <w:tbl>
      <w:tblPr>
        <w:tblStyle w:val="6"/>
        <w:tblW w:w="779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460" w:lineRule="exact"/>
              <w:jc w:val="left"/>
              <w:rPr>
                <w:rFonts w:ascii="宋体" w:hAnsi="宋体"/>
                <w:sz w:val="24"/>
              </w:rPr>
            </w:pPr>
            <w:r>
              <w:rPr>
                <w:rFonts w:hint="eastAsia" w:ascii="宋体" w:hAnsi="宋体"/>
                <w:sz w:val="24"/>
              </w:rPr>
              <w:t>序号</w:t>
            </w:r>
          </w:p>
        </w:tc>
        <w:tc>
          <w:tcPr>
            <w:tcW w:w="2977" w:type="dxa"/>
            <w:vAlign w:val="center"/>
          </w:tcPr>
          <w:p>
            <w:pPr>
              <w:spacing w:line="460" w:lineRule="exact"/>
              <w:jc w:val="center"/>
              <w:rPr>
                <w:rFonts w:ascii="宋体" w:hAnsi="宋体"/>
                <w:sz w:val="24"/>
              </w:rPr>
            </w:pPr>
            <w:r>
              <w:rPr>
                <w:rFonts w:hint="eastAsia" w:ascii="宋体" w:hAnsi="宋体"/>
                <w:sz w:val="24"/>
              </w:rPr>
              <w:t>设备名称</w:t>
            </w:r>
          </w:p>
        </w:tc>
        <w:tc>
          <w:tcPr>
            <w:tcW w:w="1843" w:type="dxa"/>
            <w:vAlign w:val="center"/>
          </w:tcPr>
          <w:p>
            <w:pPr>
              <w:spacing w:line="460" w:lineRule="exact"/>
              <w:jc w:val="center"/>
              <w:rPr>
                <w:rFonts w:ascii="宋体" w:hAnsi="宋体"/>
                <w:sz w:val="24"/>
              </w:rPr>
            </w:pPr>
            <w:r>
              <w:rPr>
                <w:rFonts w:hint="eastAsia" w:ascii="宋体" w:hAnsi="宋体"/>
                <w:sz w:val="24"/>
              </w:rPr>
              <w:t>数量</w:t>
            </w:r>
          </w:p>
        </w:tc>
        <w:tc>
          <w:tcPr>
            <w:tcW w:w="2268" w:type="dxa"/>
            <w:vAlign w:val="center"/>
          </w:tcPr>
          <w:p>
            <w:pPr>
              <w:spacing w:line="46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460" w:lineRule="exact"/>
              <w:jc w:val="center"/>
              <w:rPr>
                <w:rFonts w:ascii="宋体" w:hAnsi="宋体"/>
                <w:sz w:val="24"/>
              </w:rPr>
            </w:pPr>
            <w:r>
              <w:rPr>
                <w:rFonts w:hint="eastAsia" w:ascii="宋体" w:hAnsi="宋体"/>
                <w:sz w:val="24"/>
              </w:rPr>
              <w:t>1</w:t>
            </w:r>
          </w:p>
        </w:tc>
        <w:tc>
          <w:tcPr>
            <w:tcW w:w="2977" w:type="dxa"/>
            <w:vAlign w:val="center"/>
          </w:tcPr>
          <w:p>
            <w:pPr>
              <w:spacing w:line="460" w:lineRule="exact"/>
              <w:jc w:val="center"/>
              <w:rPr>
                <w:rFonts w:ascii="宋体" w:hAnsi="宋体"/>
                <w:sz w:val="24"/>
              </w:rPr>
            </w:pPr>
            <w:r>
              <w:rPr>
                <w:rFonts w:ascii="宋体" w:hAnsi="宋体"/>
                <w:sz w:val="24"/>
              </w:rPr>
              <w:t xml:space="preserve">SSL </w:t>
            </w:r>
            <w:r>
              <w:rPr>
                <w:rFonts w:hint="eastAsia" w:ascii="宋体" w:hAnsi="宋体"/>
                <w:sz w:val="24"/>
              </w:rPr>
              <w:t>VPN</w:t>
            </w:r>
          </w:p>
        </w:tc>
        <w:tc>
          <w:tcPr>
            <w:tcW w:w="1843" w:type="dxa"/>
            <w:vAlign w:val="center"/>
          </w:tcPr>
          <w:p>
            <w:pPr>
              <w:spacing w:line="460" w:lineRule="exact"/>
              <w:jc w:val="center"/>
              <w:rPr>
                <w:rFonts w:ascii="宋体" w:hAnsi="宋体"/>
                <w:sz w:val="24"/>
              </w:rPr>
            </w:pPr>
            <w:r>
              <w:rPr>
                <w:rFonts w:ascii="宋体" w:hAnsi="宋体"/>
                <w:sz w:val="24"/>
              </w:rPr>
              <w:t>1</w:t>
            </w:r>
          </w:p>
        </w:tc>
        <w:tc>
          <w:tcPr>
            <w:tcW w:w="2268" w:type="dxa"/>
            <w:vAlign w:val="center"/>
          </w:tcPr>
          <w:p>
            <w:pPr>
              <w:spacing w:line="460" w:lineRule="exact"/>
              <w:jc w:val="center"/>
              <w:rPr>
                <w:rFonts w:ascii="宋体" w:hAnsi="宋体"/>
                <w:sz w:val="24"/>
              </w:rPr>
            </w:pPr>
            <w:r>
              <w:rPr>
                <w:rFonts w:ascii="宋体" w:hAnsi="宋体"/>
                <w:sz w:val="24"/>
              </w:rPr>
              <w:t>国产品牌</w:t>
            </w:r>
          </w:p>
        </w:tc>
      </w:tr>
    </w:tbl>
    <w:p>
      <w:pPr>
        <w:widowControl/>
        <w:snapToGrid w:val="0"/>
        <w:spacing w:line="440" w:lineRule="exact"/>
        <w:ind w:firstLine="480" w:firstLineChars="200"/>
        <w:jc w:val="left"/>
        <w:rPr>
          <w:rFonts w:ascii="宋体" w:hAnsi="宋体"/>
          <w:sz w:val="24"/>
          <w:szCs w:val="24"/>
        </w:rPr>
      </w:pPr>
    </w:p>
    <w:p>
      <w:pPr>
        <w:widowControl/>
        <w:snapToGrid w:val="0"/>
        <w:spacing w:line="440" w:lineRule="exact"/>
        <w:ind w:firstLine="480" w:firstLineChars="200"/>
        <w:jc w:val="left"/>
        <w:rPr>
          <w:rFonts w:ascii="宋体" w:hAnsi="宋体"/>
          <w:sz w:val="24"/>
          <w:szCs w:val="24"/>
        </w:rPr>
      </w:pPr>
      <w:r>
        <w:rPr>
          <w:rFonts w:hint="eastAsia" w:ascii="宋体" w:hAnsi="宋体"/>
          <w:sz w:val="24"/>
          <w:szCs w:val="24"/>
        </w:rPr>
        <w:t>（二）技术指标</w:t>
      </w:r>
    </w:p>
    <w:tbl>
      <w:tblPr>
        <w:tblStyle w:val="6"/>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60" w:type="dxa"/>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项目</w:t>
            </w:r>
          </w:p>
        </w:tc>
        <w:tc>
          <w:tcPr>
            <w:tcW w:w="6804" w:type="dxa"/>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60" w:type="dxa"/>
            <w:shd w:val="clear" w:color="auto" w:fill="auto"/>
            <w:vAlign w:val="center"/>
          </w:tcPr>
          <w:p>
            <w:pPr>
              <w:widowControl/>
              <w:jc w:val="center"/>
              <w:rPr>
                <w:rFonts w:ascii="宋体" w:hAnsi="宋体" w:cs="宋体"/>
                <w:b/>
                <w:bCs/>
                <w:color w:val="000000"/>
                <w:kern w:val="0"/>
              </w:rPr>
            </w:pPr>
            <w:r>
              <w:rPr>
                <w:rFonts w:ascii="宋体" w:hAnsi="宋体" w:cs="宋体"/>
                <w:b/>
                <w:bCs/>
                <w:color w:val="000000"/>
                <w:kern w:val="0"/>
              </w:rPr>
              <w:t>性能要求</w:t>
            </w:r>
          </w:p>
        </w:tc>
        <w:tc>
          <w:tcPr>
            <w:tcW w:w="6804" w:type="dxa"/>
            <w:shd w:val="clear" w:color="auto" w:fill="auto"/>
          </w:tcPr>
          <w:p>
            <w:pPr>
              <w:widowControl/>
              <w:rPr>
                <w:rFonts w:ascii="宋体" w:hAnsi="宋体" w:cs="宋体"/>
                <w:bCs/>
                <w:color w:val="000000"/>
                <w:kern w:val="0"/>
              </w:rPr>
            </w:pPr>
            <w:bookmarkStart w:id="0" w:name="OLE_LINK1"/>
            <w:bookmarkStart w:id="1" w:name="OLE_LINK2"/>
            <w:r>
              <w:rPr>
                <w:rFonts w:ascii="宋体" w:hAnsi="宋体" w:cs="宋体"/>
                <w:bCs/>
                <w:color w:val="000000"/>
                <w:kern w:val="0"/>
              </w:rPr>
              <w:t xml:space="preserve">SSL </w:t>
            </w:r>
            <w:r>
              <w:rPr>
                <w:rFonts w:hint="eastAsia" w:ascii="宋体" w:hAnsi="宋体" w:cs="宋体"/>
                <w:bCs/>
                <w:color w:val="000000"/>
                <w:kern w:val="0"/>
              </w:rPr>
              <w:t>VPN</w:t>
            </w:r>
            <w:r>
              <w:rPr>
                <w:rFonts w:ascii="宋体" w:hAnsi="宋体" w:cs="宋体"/>
                <w:bCs/>
                <w:color w:val="000000"/>
                <w:kern w:val="0"/>
              </w:rPr>
              <w:t>加密速度≥100</w:t>
            </w:r>
            <w:r>
              <w:rPr>
                <w:rFonts w:hint="eastAsia" w:ascii="宋体" w:hAnsi="宋体" w:cs="宋体"/>
                <w:bCs/>
                <w:color w:val="000000"/>
                <w:kern w:val="0"/>
              </w:rPr>
              <w:t>Mbps</w:t>
            </w:r>
            <w:r>
              <w:rPr>
                <w:rFonts w:ascii="宋体" w:hAnsi="宋体" w:cs="宋体"/>
                <w:bCs/>
                <w:color w:val="000000"/>
                <w:kern w:val="0"/>
              </w:rPr>
              <w:t>，</w:t>
            </w:r>
            <w:r>
              <w:rPr>
                <w:rFonts w:hint="eastAsia" w:ascii="宋体" w:hAnsi="宋体" w:cs="宋体"/>
                <w:bCs/>
                <w:color w:val="000000"/>
                <w:kern w:val="0"/>
              </w:rPr>
              <w:t xml:space="preserve"> IPSEC</w:t>
            </w:r>
            <w:r>
              <w:rPr>
                <w:rFonts w:ascii="宋体" w:hAnsi="宋体" w:cs="宋体"/>
                <w:bCs/>
                <w:color w:val="000000"/>
                <w:kern w:val="0"/>
              </w:rPr>
              <w:t xml:space="preserve"> </w:t>
            </w:r>
            <w:r>
              <w:rPr>
                <w:rFonts w:hint="eastAsia" w:ascii="宋体" w:hAnsi="宋体" w:cs="宋体"/>
                <w:bCs/>
                <w:color w:val="000000"/>
                <w:kern w:val="0"/>
              </w:rPr>
              <w:t>VPN</w:t>
            </w:r>
            <w:r>
              <w:rPr>
                <w:rFonts w:ascii="宋体" w:hAnsi="宋体" w:cs="宋体"/>
                <w:bCs/>
                <w:color w:val="000000"/>
                <w:kern w:val="0"/>
              </w:rPr>
              <w:t>加密速度≥75</w:t>
            </w:r>
            <w:r>
              <w:rPr>
                <w:rFonts w:hint="eastAsia" w:ascii="宋体" w:hAnsi="宋体" w:cs="宋体"/>
                <w:bCs/>
                <w:color w:val="000000"/>
                <w:kern w:val="0"/>
              </w:rPr>
              <w:t>Mbps</w:t>
            </w:r>
            <w:r>
              <w:rPr>
                <w:rFonts w:ascii="宋体" w:hAnsi="宋体" w:cs="宋体"/>
                <w:bCs/>
                <w:color w:val="000000"/>
                <w:kern w:val="0"/>
              </w:rPr>
              <w:t>，</w:t>
            </w:r>
            <w:r>
              <w:rPr>
                <w:rFonts w:hint="eastAsia" w:ascii="宋体" w:hAnsi="宋体" w:cs="宋体"/>
                <w:bCs/>
                <w:color w:val="000000"/>
                <w:kern w:val="0"/>
              </w:rPr>
              <w:t>IPSEC</w:t>
            </w:r>
            <w:r>
              <w:rPr>
                <w:rFonts w:ascii="宋体" w:hAnsi="宋体" w:cs="宋体"/>
                <w:bCs/>
                <w:color w:val="000000"/>
                <w:kern w:val="0"/>
              </w:rPr>
              <w:t xml:space="preserve"> </w:t>
            </w:r>
            <w:r>
              <w:rPr>
                <w:rFonts w:hint="eastAsia" w:ascii="宋体" w:hAnsi="宋体" w:cs="宋体"/>
                <w:bCs/>
                <w:color w:val="000000"/>
                <w:kern w:val="0"/>
              </w:rPr>
              <w:t>VPN</w:t>
            </w:r>
            <w:r>
              <w:rPr>
                <w:rFonts w:ascii="宋体" w:hAnsi="宋体" w:cs="宋体"/>
                <w:bCs/>
                <w:color w:val="000000"/>
                <w:kern w:val="0"/>
              </w:rPr>
              <w:t>隧道数≥3000，</w:t>
            </w:r>
            <w:r>
              <w:rPr>
                <w:rFonts w:hint="eastAsia" w:ascii="宋体" w:hAnsi="宋体" w:cs="宋体"/>
                <w:bCs/>
                <w:color w:val="000000"/>
                <w:kern w:val="0"/>
              </w:rPr>
              <w:t>防火墙</w:t>
            </w:r>
            <w:r>
              <w:rPr>
                <w:rFonts w:ascii="宋体" w:hAnsi="宋体" w:cs="宋体"/>
                <w:bCs/>
                <w:color w:val="000000"/>
                <w:kern w:val="0"/>
              </w:rPr>
              <w:t>吞吐量≥150M</w:t>
            </w:r>
            <w:r>
              <w:rPr>
                <w:rFonts w:hint="eastAsia" w:ascii="宋体" w:hAnsi="宋体" w:cs="宋体"/>
                <w:bCs/>
                <w:color w:val="000000"/>
                <w:kern w:val="0"/>
              </w:rPr>
              <w:t>bps</w:t>
            </w:r>
            <w:r>
              <w:rPr>
                <w:rFonts w:ascii="宋体" w:hAnsi="宋体" w:cs="宋体"/>
                <w:bCs/>
                <w:color w:val="000000"/>
                <w:kern w:val="0"/>
              </w:rPr>
              <w:t>，</w:t>
            </w:r>
            <w:r>
              <w:rPr>
                <w:rFonts w:hint="eastAsia" w:ascii="宋体" w:hAnsi="宋体" w:cs="宋体"/>
                <w:bCs/>
                <w:color w:val="000000"/>
                <w:kern w:val="0"/>
              </w:rPr>
              <w:t>最大</w:t>
            </w:r>
            <w:r>
              <w:rPr>
                <w:rFonts w:ascii="宋体" w:hAnsi="宋体" w:cs="宋体"/>
                <w:bCs/>
                <w:color w:val="000000"/>
                <w:kern w:val="0"/>
              </w:rPr>
              <w:t>并发会话数≥35,000，千兆电口≥4</w:t>
            </w:r>
            <w:r>
              <w:rPr>
                <w:rFonts w:hint="eastAsia" w:ascii="宋体" w:hAnsi="宋体" w:cs="宋体"/>
                <w:bCs/>
                <w:color w:val="000000"/>
                <w:kern w:val="0"/>
              </w:rPr>
              <w:t>个</w:t>
            </w:r>
            <w:r>
              <w:rPr>
                <w:rFonts w:ascii="宋体" w:hAnsi="宋体" w:cs="宋体"/>
                <w:bCs/>
                <w:color w:val="000000"/>
                <w:kern w:val="0"/>
              </w:rPr>
              <w:t>；</w:t>
            </w:r>
            <w:r>
              <w:rPr>
                <w:rFonts w:hint="eastAsia" w:ascii="宋体" w:hAnsi="宋体" w:cs="宋体"/>
                <w:bCs/>
                <w:color w:val="000000"/>
                <w:kern w:val="0"/>
              </w:rPr>
              <w:t>设备尺寸：标准1U设备；单电源，SSL</w:t>
            </w:r>
            <w:r>
              <w:rPr>
                <w:rFonts w:ascii="宋体" w:hAnsi="宋体" w:cs="宋体"/>
                <w:bCs/>
                <w:color w:val="000000"/>
                <w:kern w:val="0"/>
              </w:rPr>
              <w:t xml:space="preserve"> </w:t>
            </w:r>
            <w:r>
              <w:rPr>
                <w:rFonts w:hint="eastAsia" w:ascii="宋体" w:hAnsi="宋体" w:cs="宋体"/>
                <w:bCs/>
                <w:color w:val="000000"/>
                <w:kern w:val="0"/>
              </w:rPr>
              <w:t>VPN</w:t>
            </w:r>
            <w:r>
              <w:rPr>
                <w:rFonts w:ascii="宋体" w:hAnsi="宋体" w:cs="宋体"/>
                <w:bCs/>
                <w:color w:val="000000"/>
                <w:kern w:val="0"/>
              </w:rPr>
              <w:t>最大支持300并发用户数</w:t>
            </w:r>
            <w:r>
              <w:rPr>
                <w:rFonts w:hint="eastAsia" w:ascii="宋体" w:hAnsi="宋体" w:cs="宋体"/>
                <w:bCs/>
                <w:color w:val="000000"/>
                <w:kern w:val="0"/>
              </w:rPr>
              <w:t>，</w:t>
            </w:r>
            <w:r>
              <w:rPr>
                <w:rFonts w:ascii="宋体" w:hAnsi="宋体" w:cs="宋体"/>
                <w:bCs/>
                <w:color w:val="000000"/>
                <w:kern w:val="0"/>
              </w:rPr>
              <w:t>本次采购100</w:t>
            </w:r>
            <w:r>
              <w:rPr>
                <w:rFonts w:hint="eastAsia" w:ascii="宋体" w:hAnsi="宋体" w:cs="宋体"/>
                <w:bCs/>
                <w:color w:val="000000"/>
                <w:kern w:val="0"/>
              </w:rPr>
              <w:t>个并发授权与50个认证key。</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60" w:type="dxa"/>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部署方式</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w:t>
            </w:r>
            <w:r>
              <w:rPr>
                <w:rFonts w:ascii="宋体" w:hAnsi="宋体" w:cs="宋体"/>
                <w:bCs/>
                <w:color w:val="000000"/>
                <w:kern w:val="0"/>
              </w:rPr>
              <w:t>网关模式</w:t>
            </w:r>
            <w:r>
              <w:rPr>
                <w:rFonts w:hint="eastAsia" w:ascii="宋体" w:hAnsi="宋体" w:cs="宋体"/>
                <w:bCs/>
                <w:color w:val="000000"/>
                <w:kern w:val="0"/>
              </w:rPr>
              <w:t>、单臂模式部署两种方式；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1560" w:type="dxa"/>
            <w:vMerge w:val="restart"/>
            <w:shd w:val="clear" w:color="auto" w:fill="auto"/>
            <w:vAlign w:val="center"/>
          </w:tcPr>
          <w:p>
            <w:pPr>
              <w:widowControl/>
              <w:jc w:val="center"/>
              <w:rPr>
                <w:rFonts w:ascii="宋体" w:hAnsi="宋体" w:cs="宋体"/>
                <w:b/>
                <w:color w:val="000000"/>
                <w:kern w:val="0"/>
              </w:rPr>
            </w:pPr>
            <w:r>
              <w:rPr>
                <w:rFonts w:hint="eastAsia" w:ascii="宋体" w:hAnsi="宋体" w:cs="宋体"/>
                <w:b/>
                <w:color w:val="000000"/>
                <w:kern w:val="0"/>
              </w:rPr>
              <w:t>基本特性</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专业VPN设备，非插卡或防火墙带VPN模块设备。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560" w:type="dxa"/>
            <w:vMerge w:val="continue"/>
            <w:vAlign w:val="center"/>
          </w:tcPr>
          <w:p>
            <w:pPr>
              <w:widowControl/>
              <w:jc w:val="left"/>
              <w:rPr>
                <w:rFonts w:ascii="宋体" w:hAnsi="宋体" w:cs="宋体"/>
                <w:b/>
                <w:color w:val="000000"/>
                <w:kern w:val="0"/>
              </w:rPr>
            </w:pPr>
          </w:p>
        </w:tc>
        <w:tc>
          <w:tcPr>
            <w:tcW w:w="6804" w:type="dxa"/>
            <w:shd w:val="clear" w:color="auto" w:fill="auto"/>
            <w:vAlign w:val="bottom"/>
          </w:tcPr>
          <w:p>
            <w:pPr>
              <w:widowControl/>
              <w:rPr>
                <w:rFonts w:ascii="宋体" w:hAnsi="宋体" w:cs="宋体"/>
                <w:bCs/>
                <w:color w:val="000000"/>
                <w:kern w:val="0"/>
              </w:rPr>
            </w:pPr>
            <w:r>
              <w:rPr>
                <w:rFonts w:hint="eastAsia" w:ascii="宋体" w:hAnsi="宋体" w:cs="宋体"/>
                <w:bCs/>
                <w:color w:val="000000"/>
                <w:kern w:val="0"/>
              </w:rPr>
              <w:t>支持PC终端使用包括Windows8、Windows7、Windows Vista、Windows xp、Mac OS、Linux等主流操作系统来登录SSLVPN系统，并完整支持该操作系统下的各种IP层以上的B/S和C/S应用；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560" w:type="dxa"/>
            <w:vMerge w:val="continue"/>
            <w:vAlign w:val="center"/>
          </w:tcPr>
          <w:p>
            <w:pPr>
              <w:widowControl/>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支持终端使用包括IE6、7、8、9、10、11或其他IE内核的浏览器，以及非IE内核浏览器、如Firefox，Safari，Google Chrome，Opera登录SSLVPN系统（</w:t>
            </w:r>
            <w:r>
              <w:rPr>
                <w:rFonts w:ascii="宋体" w:hAnsi="宋体" w:cs="宋体"/>
                <w:bCs/>
                <w:color w:val="000000"/>
                <w:kern w:val="0"/>
              </w:rPr>
              <w:t>逐一</w:t>
            </w:r>
            <w:r>
              <w:rPr>
                <w:rFonts w:hint="eastAsia" w:ascii="宋体" w:hAnsi="宋体" w:cs="宋体"/>
                <w:bCs/>
                <w:color w:val="000000"/>
                <w:kern w:val="0"/>
              </w:rPr>
              <w:t>提供截图证明并</w:t>
            </w:r>
            <w:r>
              <w:rPr>
                <w:rFonts w:ascii="宋体" w:hAnsi="宋体" w:cs="宋体"/>
                <w:bCs/>
                <w:color w:val="000000"/>
                <w:kern w:val="0"/>
              </w:rPr>
              <w:t>加盖厂商公章</w:t>
            </w:r>
            <w:r>
              <w:rPr>
                <w:rFonts w:hint="eastAsia"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560" w:type="dxa"/>
            <w:vMerge w:val="restart"/>
            <w:shd w:val="clear" w:color="auto" w:fill="auto"/>
            <w:vAlign w:val="center"/>
          </w:tcPr>
          <w:p>
            <w:pPr>
              <w:widowControl/>
              <w:jc w:val="center"/>
              <w:rPr>
                <w:rFonts w:ascii="宋体" w:hAnsi="宋体" w:cs="宋体"/>
                <w:b/>
                <w:color w:val="000000"/>
                <w:kern w:val="0"/>
              </w:rPr>
            </w:pPr>
            <w:r>
              <w:rPr>
                <w:rFonts w:hint="eastAsia" w:ascii="宋体" w:hAnsi="宋体" w:cs="宋体"/>
                <w:b/>
                <w:color w:val="000000"/>
                <w:kern w:val="0"/>
              </w:rPr>
              <w:t>易用性</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可支持虚拟门户功能，在一台设备上配置不同的访问域名、IP地址，以及不同的使用界面，实现一台设备为多个不同用户群体服务的的使用效果；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60" w:type="dxa"/>
            <w:vMerge w:val="continue"/>
            <w:vAlign w:val="center"/>
          </w:tcPr>
          <w:p>
            <w:pPr>
              <w:widowControl/>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支持智能递推技术，针对多外链的门户网站进行动态嗅探页面内的链接并完成资源自动授权，防止资源漏访；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60" w:type="dxa"/>
            <w:shd w:val="clear" w:color="auto" w:fill="auto"/>
            <w:vAlign w:val="center"/>
          </w:tcPr>
          <w:p>
            <w:pPr>
              <w:widowControl/>
              <w:jc w:val="center"/>
              <w:rPr>
                <w:rFonts w:ascii="宋体" w:hAnsi="宋体" w:cs="宋体"/>
                <w:b/>
                <w:color w:val="000000"/>
                <w:kern w:val="0"/>
              </w:rPr>
            </w:pPr>
            <w:r>
              <w:rPr>
                <w:rFonts w:hint="eastAsia" w:ascii="宋体" w:hAnsi="宋体" w:cs="宋体"/>
                <w:b/>
                <w:color w:val="000000"/>
                <w:kern w:val="0"/>
              </w:rPr>
              <w:t>权限控制</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支持主从认证账号绑定，必须实现SSL VPN账号与应用系统账号的唯一绑定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560" w:type="dxa"/>
            <w:vMerge w:val="restart"/>
            <w:shd w:val="clear" w:color="auto" w:fill="auto"/>
            <w:vAlign w:val="center"/>
          </w:tcPr>
          <w:p>
            <w:pPr>
              <w:widowControl/>
              <w:jc w:val="center"/>
              <w:rPr>
                <w:rFonts w:ascii="宋体" w:hAnsi="宋体" w:cs="宋体"/>
                <w:b/>
                <w:color w:val="000000"/>
                <w:kern w:val="0"/>
              </w:rPr>
            </w:pPr>
            <w:r>
              <w:rPr>
                <w:rFonts w:hint="eastAsia" w:ascii="宋体" w:hAnsi="宋体" w:cs="宋体"/>
                <w:b/>
                <w:color w:val="000000"/>
                <w:kern w:val="0"/>
              </w:rPr>
              <w:t>身份认证</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产品可进行用户名/密码、LDAP、USB KEY、硬件特征码、短信认证或动态令牌的五因素捆绑认证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560" w:type="dxa"/>
            <w:vMerge w:val="continue"/>
            <w:shd w:val="clear" w:color="auto" w:fill="auto"/>
            <w:vAlign w:val="center"/>
          </w:tcPr>
          <w:p>
            <w:pPr>
              <w:widowControl/>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设备内部必须支持自建CA中心，单台VPN设备同时支持5套以上CA根证书；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1560" w:type="dxa"/>
            <w:vMerge w:val="restart"/>
            <w:shd w:val="clear" w:color="auto" w:fill="auto"/>
            <w:vAlign w:val="center"/>
          </w:tcPr>
          <w:p>
            <w:pPr>
              <w:widowControl/>
              <w:jc w:val="center"/>
              <w:rPr>
                <w:rFonts w:ascii="宋体" w:hAnsi="宋体" w:cs="宋体"/>
                <w:b/>
                <w:color w:val="000000"/>
                <w:kern w:val="0"/>
              </w:rPr>
            </w:pPr>
            <w:r>
              <w:rPr>
                <w:rFonts w:hint="eastAsia" w:ascii="宋体" w:hAnsi="宋体" w:cs="宋体"/>
                <w:b/>
                <w:color w:val="000000"/>
                <w:kern w:val="0"/>
              </w:rPr>
              <w:t>高速性</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支持至少4条外网线路；并能实现基于SSL VPN的智能选路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1560" w:type="dxa"/>
            <w:vMerge w:val="continue"/>
            <w:shd w:val="clear" w:color="auto" w:fill="auto"/>
            <w:vAlign w:val="center"/>
          </w:tcPr>
          <w:p>
            <w:pPr>
              <w:widowControl/>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支持利用网页进行动态寻址，在ADSL环境下快速部署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560" w:type="dxa"/>
            <w:vMerge w:val="continue"/>
            <w:shd w:val="clear" w:color="auto" w:fill="auto"/>
            <w:vAlign w:val="center"/>
          </w:tcPr>
          <w:p>
            <w:pPr>
              <w:widowControl/>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支持针对不同的web页面进行数据优化，支持动态压缩技术，基于数据流进行压缩，减少不必要的数据传输。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560" w:type="dxa"/>
            <w:vMerge w:val="restart"/>
            <w:shd w:val="clear" w:color="auto" w:fill="auto"/>
            <w:vAlign w:val="center"/>
          </w:tcPr>
          <w:p>
            <w:pPr>
              <w:widowControl/>
              <w:jc w:val="center"/>
              <w:rPr>
                <w:rFonts w:ascii="宋体" w:hAnsi="宋体" w:cs="宋体"/>
                <w:b/>
                <w:color w:val="000000"/>
                <w:kern w:val="0"/>
              </w:rPr>
            </w:pPr>
            <w:r>
              <w:rPr>
                <w:rFonts w:hint="eastAsia" w:ascii="宋体" w:hAnsi="宋体" w:cs="宋体"/>
                <w:b/>
                <w:color w:val="000000"/>
                <w:kern w:val="0"/>
              </w:rPr>
              <w:t>高管理要求</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支持15级以上的管理员分级分权限管理（提供管理员分级截图并加盖厂商公章）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60" w:type="dxa"/>
            <w:vMerge w:val="continue"/>
            <w:vAlign w:val="center"/>
          </w:tcPr>
          <w:p>
            <w:pPr>
              <w:widowControl/>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产品支持基于Android及IOS平台的第三方软件开发包（SDK），支持针对移动APP的VPN安全代码的自动封装，实现App应用的安全加固（提供界面截图证明</w:t>
            </w:r>
            <w:r>
              <w:rPr>
                <w:rFonts w:ascii="宋体" w:hAnsi="宋体" w:cs="宋体"/>
                <w:bCs/>
                <w:color w:val="000000"/>
                <w:kern w:val="0"/>
              </w:rPr>
              <w:t>，</w:t>
            </w:r>
            <w:r>
              <w:rPr>
                <w:rFonts w:hint="eastAsia" w:ascii="宋体" w:hAnsi="宋体" w:cs="宋体"/>
                <w:bCs/>
                <w:color w:val="000000"/>
                <w:kern w:val="0"/>
              </w:rPr>
              <w:t>加盖</w:t>
            </w:r>
            <w:r>
              <w:rPr>
                <w:rFonts w:ascii="宋体" w:hAnsi="宋体" w:cs="宋体"/>
                <w:bCs/>
                <w:color w:val="000000"/>
                <w:kern w:val="0"/>
              </w:rPr>
              <w:t>厂商公章</w:t>
            </w:r>
            <w:r>
              <w:rPr>
                <w:rFonts w:hint="eastAsia"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60" w:type="dxa"/>
            <w:vMerge w:val="continue"/>
            <w:vAlign w:val="center"/>
          </w:tcPr>
          <w:p>
            <w:pPr>
              <w:widowControl/>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支持在手机终端上提供单独桌面承载学校app</w:t>
            </w:r>
            <w:r>
              <w:rPr>
                <w:rFonts w:ascii="宋体" w:hAnsi="宋体" w:cs="宋体"/>
                <w:bCs/>
                <w:color w:val="000000"/>
                <w:kern w:val="0"/>
              </w:rPr>
              <w:t>，</w:t>
            </w:r>
            <w:r>
              <w:rPr>
                <w:rFonts w:hint="eastAsia" w:ascii="宋体" w:hAnsi="宋体" w:cs="宋体"/>
                <w:bCs/>
                <w:color w:val="000000"/>
                <w:kern w:val="0"/>
              </w:rPr>
              <w:t>方便用户使用手机接入校园app时通过统一入口接入（提供手机截屏并加盖厂商公章</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1560" w:type="dxa"/>
            <w:vMerge w:val="restart"/>
            <w:vAlign w:val="center"/>
          </w:tcPr>
          <w:p>
            <w:pPr>
              <w:jc w:val="left"/>
              <w:rPr>
                <w:rFonts w:ascii="宋体" w:hAnsi="宋体" w:cs="宋体"/>
                <w:b/>
                <w:color w:val="000000"/>
                <w:kern w:val="0"/>
              </w:rPr>
            </w:pPr>
            <w:r>
              <w:rPr>
                <w:rFonts w:hint="eastAsia" w:ascii="宋体" w:hAnsi="宋体" w:cs="宋体"/>
                <w:b/>
                <w:color w:val="000000"/>
                <w:kern w:val="0"/>
              </w:rPr>
              <w:t>移动智能终端支持</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产品支持应用虚拟化功能，可以无需二次开发，即把Windows应用发布到移动智能终端中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560" w:type="dxa"/>
            <w:vMerge w:val="continue"/>
            <w:vAlign w:val="center"/>
          </w:tcPr>
          <w:p>
            <w:pPr>
              <w:jc w:val="left"/>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产品应该支持企业级“云盘”（又名“网盘”、“文件共享”）功能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1560" w:type="dxa"/>
            <w:vAlign w:val="center"/>
          </w:tcPr>
          <w:p>
            <w:pPr>
              <w:widowControl/>
              <w:jc w:val="center"/>
              <w:rPr>
                <w:rFonts w:ascii="宋体" w:hAnsi="宋体" w:cs="宋体"/>
                <w:b/>
                <w:color w:val="000000"/>
                <w:kern w:val="0"/>
              </w:rPr>
            </w:pPr>
            <w:r>
              <w:rPr>
                <w:rFonts w:hint="eastAsia" w:ascii="宋体" w:hAnsi="宋体" w:cs="宋体"/>
                <w:b/>
                <w:color w:val="000000"/>
                <w:kern w:val="0"/>
              </w:rPr>
              <w:t>防火墙</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产品应具备基于状态监测技术的防火墙功能，能够抵抗常见的网络攻击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1560" w:type="dxa"/>
            <w:vMerge w:val="restart"/>
            <w:vAlign w:val="center"/>
          </w:tcPr>
          <w:p>
            <w:pPr>
              <w:widowControl/>
              <w:jc w:val="center"/>
              <w:rPr>
                <w:rFonts w:ascii="宋体" w:hAnsi="宋体" w:cs="宋体"/>
                <w:b/>
                <w:color w:val="000000"/>
                <w:kern w:val="0"/>
              </w:rPr>
            </w:pPr>
            <w:r>
              <w:rPr>
                <w:rFonts w:ascii="宋体" w:hAnsi="宋体" w:cs="宋体"/>
                <w:b/>
                <w:color w:val="000000"/>
                <w:kern w:val="0"/>
              </w:rPr>
              <w:t>品牌及案例</w:t>
            </w: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提供</w:t>
            </w:r>
            <w:r>
              <w:rPr>
                <w:rFonts w:ascii="宋体" w:hAnsi="宋体" w:cs="宋体"/>
                <w:bCs/>
                <w:color w:val="000000"/>
                <w:kern w:val="0"/>
              </w:rPr>
              <w:t>SSL VPN</w:t>
            </w:r>
            <w:r>
              <w:rPr>
                <w:rFonts w:hint="eastAsia" w:ascii="宋体" w:hAnsi="宋体" w:cs="宋体"/>
                <w:bCs/>
                <w:color w:val="000000"/>
                <w:kern w:val="0"/>
              </w:rPr>
              <w:t>必须在近三年内至少曾有一年在中国国内SSL VPN或VPN硬件市场占有率为前三名，提供权威的第三方机构</w:t>
            </w:r>
            <w:r>
              <w:rPr>
                <w:rFonts w:ascii="宋体" w:hAnsi="宋体" w:cs="宋体"/>
                <w:bCs/>
                <w:color w:val="000000"/>
                <w:kern w:val="0"/>
              </w:rPr>
              <w:t>（</w:t>
            </w:r>
            <w:r>
              <w:rPr>
                <w:rFonts w:hint="eastAsia" w:ascii="宋体" w:hAnsi="宋体" w:cs="宋体"/>
                <w:bCs/>
                <w:color w:val="000000"/>
                <w:kern w:val="0"/>
              </w:rPr>
              <w:t>如</w:t>
            </w:r>
            <w:r>
              <w:rPr>
                <w:rFonts w:ascii="宋体" w:hAnsi="宋体" w:cs="宋体"/>
                <w:bCs/>
                <w:color w:val="000000"/>
                <w:kern w:val="0"/>
              </w:rPr>
              <w:t>IDC、</w:t>
            </w:r>
            <w:r>
              <w:rPr>
                <w:rFonts w:hint="eastAsia" w:ascii="宋体" w:hAnsi="宋体" w:cs="宋体"/>
                <w:bCs/>
                <w:color w:val="000000"/>
                <w:kern w:val="0"/>
              </w:rPr>
              <w:t>Frost</w:t>
            </w:r>
            <w:r>
              <w:rPr>
                <w:rFonts w:ascii="宋体" w:hAnsi="宋体" w:cs="宋体"/>
                <w:bCs/>
                <w:color w:val="000000"/>
                <w:kern w:val="0"/>
              </w:rPr>
              <w:t>等）</w:t>
            </w:r>
            <w:r>
              <w:rPr>
                <w:rFonts w:hint="eastAsia" w:ascii="宋体" w:hAnsi="宋体" w:cs="宋体"/>
                <w:bCs/>
                <w:color w:val="000000"/>
                <w:kern w:val="0"/>
              </w:rPr>
              <w:t>数据证明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1560" w:type="dxa"/>
            <w:vMerge w:val="continue"/>
            <w:vAlign w:val="center"/>
          </w:tcPr>
          <w:p>
            <w:pPr>
              <w:widowControl/>
              <w:jc w:val="center"/>
              <w:rPr>
                <w:rFonts w:ascii="宋体" w:hAnsi="宋体" w:cs="宋体"/>
                <w:b/>
                <w:color w:val="000000"/>
                <w:kern w:val="0"/>
              </w:rPr>
            </w:pPr>
          </w:p>
        </w:tc>
        <w:tc>
          <w:tcPr>
            <w:tcW w:w="6804" w:type="dxa"/>
            <w:shd w:val="clear" w:color="auto" w:fill="auto"/>
          </w:tcPr>
          <w:p>
            <w:pPr>
              <w:widowControl/>
              <w:rPr>
                <w:rFonts w:ascii="宋体" w:hAnsi="宋体" w:cs="宋体"/>
                <w:bCs/>
                <w:color w:val="000000"/>
                <w:kern w:val="0"/>
              </w:rPr>
            </w:pPr>
            <w:r>
              <w:rPr>
                <w:rFonts w:hint="eastAsia" w:ascii="宋体" w:hAnsi="宋体" w:cs="宋体"/>
                <w:bCs/>
                <w:color w:val="000000"/>
                <w:kern w:val="0"/>
              </w:rPr>
              <w:t>为保证产品稳定性，和市场认可度，要求</w:t>
            </w:r>
            <w:r>
              <w:rPr>
                <w:rFonts w:ascii="宋体" w:hAnsi="宋体" w:cs="宋体"/>
                <w:bCs/>
                <w:color w:val="000000"/>
                <w:kern w:val="0"/>
              </w:rPr>
              <w:t>提供</w:t>
            </w:r>
            <w:r>
              <w:rPr>
                <w:rFonts w:hint="eastAsia" w:ascii="宋体" w:hAnsi="宋体" w:cs="宋体"/>
                <w:bCs/>
                <w:color w:val="000000"/>
                <w:kern w:val="0"/>
              </w:rPr>
              <w:t>所投</w:t>
            </w:r>
            <w:r>
              <w:rPr>
                <w:rFonts w:ascii="宋体" w:hAnsi="宋体" w:cs="宋体"/>
                <w:bCs/>
                <w:color w:val="000000"/>
                <w:kern w:val="0"/>
              </w:rPr>
              <w:t>品牌在江苏211高校的案例合同</w:t>
            </w:r>
            <w:r>
              <w:rPr>
                <w:rFonts w:hint="eastAsia" w:ascii="宋体" w:hAnsi="宋体" w:cs="宋体"/>
                <w:bCs/>
                <w:color w:val="000000"/>
                <w:kern w:val="0"/>
              </w:rPr>
              <w:t>复印件</w:t>
            </w:r>
            <w:r>
              <w:rPr>
                <w:rFonts w:ascii="宋体" w:hAnsi="宋体" w:cs="宋体"/>
                <w:bCs/>
                <w:color w:val="000000"/>
                <w:kern w:val="0"/>
              </w:rPr>
              <w:t>（</w:t>
            </w:r>
            <w:r>
              <w:rPr>
                <w:rFonts w:hint="eastAsia" w:ascii="宋体" w:hAnsi="宋体" w:cs="宋体"/>
                <w:bCs/>
                <w:color w:val="000000"/>
                <w:kern w:val="0"/>
              </w:rPr>
              <w:t>不少于</w:t>
            </w:r>
            <w:r>
              <w:rPr>
                <w:rFonts w:ascii="宋体" w:hAnsi="宋体" w:cs="宋体"/>
                <w:bCs/>
                <w:color w:val="000000"/>
                <w:kern w:val="0"/>
              </w:rPr>
              <w:t>三个），</w:t>
            </w:r>
            <w:r>
              <w:rPr>
                <w:rFonts w:hint="eastAsia" w:ascii="宋体" w:hAnsi="宋体" w:cs="宋体"/>
                <w:bCs/>
                <w:color w:val="000000"/>
                <w:kern w:val="0"/>
              </w:rPr>
              <w:t>并提供</w:t>
            </w:r>
            <w:r>
              <w:rPr>
                <w:rFonts w:ascii="宋体" w:hAnsi="宋体" w:cs="宋体"/>
                <w:bCs/>
                <w:color w:val="000000"/>
                <w:kern w:val="0"/>
              </w:rPr>
              <w:t>用户联系方式及加盖用户公章的使用报告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rPr>
            </w:pPr>
            <w:r>
              <w:rPr>
                <w:rFonts w:ascii="宋体" w:hAnsi="宋体" w:cs="宋体"/>
                <w:b/>
                <w:color w:val="000000"/>
                <w:kern w:val="0"/>
              </w:rPr>
              <w:t>产品</w:t>
            </w:r>
            <w:r>
              <w:rPr>
                <w:rFonts w:hint="eastAsia" w:ascii="宋体" w:hAnsi="宋体" w:cs="宋体"/>
                <w:b/>
                <w:color w:val="000000"/>
                <w:kern w:val="0"/>
              </w:rPr>
              <w:t>及</w:t>
            </w:r>
            <w:r>
              <w:rPr>
                <w:rFonts w:ascii="宋体" w:hAnsi="宋体" w:cs="宋体"/>
                <w:b/>
                <w:color w:val="000000"/>
                <w:kern w:val="0"/>
              </w:rPr>
              <w:t>企业资质</w:t>
            </w:r>
          </w:p>
        </w:tc>
        <w:tc>
          <w:tcPr>
            <w:tcW w:w="6804" w:type="dxa"/>
            <w:tcBorders>
              <w:top w:val="nil"/>
              <w:left w:val="nil"/>
              <w:bottom w:val="single" w:color="auto" w:sz="4" w:space="0"/>
              <w:right w:val="single" w:color="auto" w:sz="4" w:space="0"/>
            </w:tcBorders>
            <w:shd w:val="clear" w:color="auto" w:fill="auto"/>
          </w:tcPr>
          <w:p>
            <w:pPr>
              <w:widowControl/>
              <w:rPr>
                <w:rFonts w:ascii="宋体" w:hAnsi="宋体" w:cs="宋体"/>
                <w:bCs/>
                <w:color w:val="000000"/>
                <w:kern w:val="0"/>
              </w:rPr>
            </w:pPr>
            <w:r>
              <w:rPr>
                <w:rFonts w:hint="eastAsia" w:ascii="宋体" w:hAnsi="宋体" w:cs="宋体"/>
                <w:bCs/>
                <w:color w:val="000000"/>
                <w:kern w:val="0"/>
              </w:rPr>
              <w:t>提供原厂商售后服务体系ISO9001认证证书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6804" w:type="dxa"/>
            <w:tcBorders>
              <w:top w:val="nil"/>
              <w:left w:val="nil"/>
              <w:bottom w:val="single" w:color="auto" w:sz="4" w:space="0"/>
              <w:right w:val="single" w:color="auto" w:sz="4" w:space="0"/>
            </w:tcBorders>
            <w:shd w:val="clear" w:color="auto" w:fill="auto"/>
          </w:tcPr>
          <w:p>
            <w:pPr>
              <w:widowControl/>
              <w:rPr>
                <w:rFonts w:ascii="宋体" w:hAnsi="宋体" w:cs="宋体"/>
                <w:bCs/>
                <w:color w:val="000000"/>
                <w:kern w:val="0"/>
              </w:rPr>
            </w:pPr>
            <w:r>
              <w:rPr>
                <w:rFonts w:ascii="宋体" w:hAnsi="宋体" w:cs="宋体"/>
                <w:bCs/>
                <w:color w:val="000000"/>
                <w:kern w:val="0"/>
              </w:rPr>
              <w:t>提供</w:t>
            </w:r>
            <w:r>
              <w:rPr>
                <w:rFonts w:hint="eastAsia" w:ascii="宋体" w:hAnsi="宋体" w:cs="宋体"/>
                <w:bCs/>
                <w:color w:val="000000"/>
                <w:kern w:val="0"/>
              </w:rPr>
              <w:t>设备</w:t>
            </w:r>
            <w:r>
              <w:rPr>
                <w:rFonts w:ascii="宋体" w:hAnsi="宋体" w:cs="宋体"/>
                <w:bCs/>
                <w:color w:val="000000"/>
                <w:kern w:val="0"/>
              </w:rPr>
              <w:t xml:space="preserve">生产厂商CMMI </w:t>
            </w:r>
            <w:r>
              <w:rPr>
                <w:rFonts w:hint="eastAsia" w:ascii="宋体" w:hAnsi="宋体" w:cs="宋体"/>
                <w:bCs/>
                <w:color w:val="000000"/>
                <w:kern w:val="0"/>
              </w:rPr>
              <w:t>L5</w:t>
            </w:r>
            <w:r>
              <w:rPr>
                <w:rFonts w:ascii="宋体" w:hAnsi="宋体" w:cs="宋体"/>
                <w:bCs/>
                <w:color w:val="000000"/>
                <w:kern w:val="0"/>
              </w:rPr>
              <w:t>认证证书，</w:t>
            </w:r>
            <w:r>
              <w:rPr>
                <w:rFonts w:hint="eastAsia" w:ascii="宋体" w:hAnsi="宋体" w:cs="宋体"/>
                <w:bCs/>
                <w:color w:val="000000"/>
                <w:kern w:val="0"/>
              </w:rPr>
              <w:t>加盖</w:t>
            </w:r>
            <w:r>
              <w:rPr>
                <w:rFonts w:ascii="宋体" w:hAnsi="宋体" w:cs="宋体"/>
                <w:bCs/>
                <w:color w:val="000000"/>
                <w:kern w:val="0"/>
              </w:rPr>
              <w:t>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6804"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bCs/>
                <w:color w:val="000000"/>
                <w:kern w:val="0"/>
              </w:rPr>
            </w:pPr>
            <w:r>
              <w:rPr>
                <w:rFonts w:hint="eastAsia" w:ascii="宋体" w:hAnsi="宋体" w:cs="宋体"/>
                <w:bCs/>
                <w:color w:val="000000"/>
                <w:kern w:val="0"/>
              </w:rPr>
              <w:t>提供产品IPV6 Ready认证证书，并在全球IPV6测试中心官网可查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b/>
                <w:color w:val="000000"/>
                <w:kern w:val="0"/>
              </w:rPr>
              <w:t>质保</w:t>
            </w:r>
          </w:p>
        </w:tc>
        <w:tc>
          <w:tcPr>
            <w:tcW w:w="6804" w:type="dxa"/>
            <w:tcBorders>
              <w:top w:val="single" w:color="auto" w:sz="4" w:space="0"/>
              <w:left w:val="nil"/>
              <w:bottom w:val="single" w:color="auto" w:sz="4" w:space="0"/>
              <w:right w:val="single" w:color="auto" w:sz="4" w:space="0"/>
            </w:tcBorders>
            <w:shd w:val="clear" w:color="auto" w:fill="auto"/>
          </w:tcPr>
          <w:p>
            <w:pPr>
              <w:widowControl/>
              <w:rPr>
                <w:rFonts w:ascii="宋体" w:hAnsi="宋体" w:cs="宋体"/>
                <w:bCs/>
                <w:color w:val="000000"/>
                <w:kern w:val="0"/>
              </w:rPr>
            </w:pPr>
            <w:r>
              <w:rPr>
                <w:rFonts w:hint="eastAsia" w:ascii="宋体" w:hAnsi="宋体" w:cs="宋体"/>
                <w:bCs/>
                <w:color w:val="000000"/>
                <w:kern w:val="0"/>
              </w:rPr>
              <w:t>原厂5年质保，提供原厂质保授权证明</w:t>
            </w:r>
          </w:p>
        </w:tc>
      </w:tr>
    </w:tbl>
    <w:p>
      <w:pPr>
        <w:rPr/>
      </w:pPr>
      <w:r>
        <w:rPr>
          <w:rFonts w:hint="eastAsia"/>
        </w:rPr>
        <w:t>以上所有技术要求签订合同前需要提供官方证明（原厂彩页、原厂技术白皮书、原厂盖章技术响应表或官网资料及资料链接）备查。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15"/>
    <w:rsid w:val="000576B4"/>
    <w:rsid w:val="00057E2F"/>
    <w:rsid w:val="00077935"/>
    <w:rsid w:val="00274239"/>
    <w:rsid w:val="004145BE"/>
    <w:rsid w:val="0042472B"/>
    <w:rsid w:val="008C2026"/>
    <w:rsid w:val="008E77A3"/>
    <w:rsid w:val="00917850"/>
    <w:rsid w:val="009618BE"/>
    <w:rsid w:val="009D504C"/>
    <w:rsid w:val="00A23094"/>
    <w:rsid w:val="00A64C27"/>
    <w:rsid w:val="00A715D2"/>
    <w:rsid w:val="00AD0E15"/>
    <w:rsid w:val="00AE0351"/>
    <w:rsid w:val="00AF33E2"/>
    <w:rsid w:val="00B25FE4"/>
    <w:rsid w:val="00C53CA9"/>
    <w:rsid w:val="00CB28C0"/>
    <w:rsid w:val="00CE4640"/>
    <w:rsid w:val="00D064F7"/>
    <w:rsid w:val="00DD625A"/>
    <w:rsid w:val="00E354B3"/>
    <w:rsid w:val="00E4177F"/>
    <w:rsid w:val="00E60F0B"/>
    <w:rsid w:val="00F83B6D"/>
    <w:rsid w:val="00F8601E"/>
    <w:rsid w:val="00FD6E3E"/>
    <w:rsid w:val="62EE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SANGFOR_6_正文"/>
    <w:basedOn w:val="1"/>
    <w:link w:val="10"/>
    <w:qFormat/>
    <w:uiPriority w:val="0"/>
    <w:pPr>
      <w:spacing w:line="360" w:lineRule="auto"/>
      <w:ind w:firstLine="420"/>
    </w:pPr>
    <w:rPr>
      <w:szCs w:val="24"/>
    </w:rPr>
  </w:style>
  <w:style w:type="character" w:customStyle="1" w:styleId="10">
    <w:name w:val="SANGFOR_6_正文 Char"/>
    <w:link w:val="9"/>
    <w:qFormat/>
    <w:uiPriority w:val="0"/>
    <w:rPr>
      <w:rFonts w:ascii="Times New Roman" w:hAnsi="Times New Roman" w:eastAsia="宋体" w:cs="Times New Roman"/>
      <w:szCs w:val="24"/>
    </w:rPr>
  </w:style>
  <w:style w:type="paragraph" w:customStyle="1" w:styleId="11">
    <w:name w:val="p0"/>
    <w:basedOn w:val="1"/>
    <w:qFormat/>
    <w:uiPriority w:val="0"/>
    <w:pPr>
      <w:widowControl/>
    </w:pPr>
    <w:rPr>
      <w:kern w:val="0"/>
    </w:rPr>
  </w:style>
  <w:style w:type="paragraph" w:customStyle="1" w:styleId="12">
    <w:name w:val="列出段落1"/>
    <w:basedOn w:val="1"/>
    <w:uiPriority w:val="0"/>
    <w:pPr>
      <w:ind w:firstLine="420" w:firstLineChars="200"/>
    </w:pPr>
    <w:rPr>
      <w:rFonts w:ascii="Calibri" w:hAnsi="Calibri" w:eastAsia="宋体" w:cs="Times New Roman"/>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226</Words>
  <Characters>1289</Characters>
  <Lines>10</Lines>
  <Paragraphs>3</Paragraphs>
  <TotalTime>0</TotalTime>
  <ScaleCrop>false</ScaleCrop>
  <LinksUpToDate>false</LinksUpToDate>
  <CharactersWithSpaces>1512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2017-12-21T08:40:00Z</dcterms:created>
  <dc:creator>李斌</dc:creator>
  <cp:lastModifiedBy>hp</cp:lastModifiedBy>
  <dcterms:modified xsi:type="dcterms:W3CDTF">2017-12-22T01:38:40Z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